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0D1A" w14:textId="778D80AC" w:rsidR="00A25CD8" w:rsidRPr="0072147E" w:rsidRDefault="00A25CD8" w:rsidP="0072147E">
      <w:pPr>
        <w:pStyle w:val="Heading1"/>
        <w:rPr>
          <w:sz w:val="48"/>
          <w:szCs w:val="48"/>
        </w:rPr>
      </w:pPr>
      <w:r w:rsidRPr="0072147E">
        <w:rPr>
          <w:sz w:val="48"/>
          <w:szCs w:val="48"/>
        </w:rPr>
        <w:t>Standard rules</w:t>
      </w:r>
    </w:p>
    <w:p w14:paraId="32DC69AA" w14:textId="3552E46E" w:rsidR="00564F85" w:rsidRPr="00A25CD8" w:rsidRDefault="00564F85" w:rsidP="00A25CD8">
      <w:pPr>
        <w:pStyle w:val="BodyText"/>
      </w:pPr>
      <w:r w:rsidRPr="00A25CD8">
        <w:t>Chapter 4, The Environmental Permitting</w:t>
      </w:r>
    </w:p>
    <w:p w14:paraId="4CCE60C5" w14:textId="6EC3EE67" w:rsidR="00564F85" w:rsidRPr="00A25CD8" w:rsidRDefault="00564F85" w:rsidP="00A25CD8">
      <w:pPr>
        <w:pStyle w:val="BodyText"/>
      </w:pPr>
      <w:r w:rsidRPr="00A25CD8">
        <w:t>(England and Wales) Regulations 20</w:t>
      </w:r>
      <w:r w:rsidR="00A25CD8" w:rsidRPr="00A25CD8">
        <w:t>1</w:t>
      </w:r>
      <w:r w:rsidRPr="00A25CD8">
        <w:t>6</w:t>
      </w:r>
    </w:p>
    <w:p w14:paraId="633ECB44" w14:textId="77777777" w:rsidR="00564F85" w:rsidRPr="00A25CD8" w:rsidRDefault="00564F85" w:rsidP="00A25CD8">
      <w:pPr>
        <w:pStyle w:val="BodyText"/>
      </w:pPr>
    </w:p>
    <w:p w14:paraId="7B08DA66" w14:textId="0B81F66D" w:rsidR="00564F85" w:rsidRPr="003B6A8E" w:rsidRDefault="00564F85" w:rsidP="003B6A8E">
      <w:pPr>
        <w:pStyle w:val="Heading1"/>
        <w:rPr>
          <w:color w:val="000000" w:themeColor="text1"/>
        </w:rPr>
      </w:pPr>
      <w:bookmarkStart w:id="0" w:name="_Hlk22213654"/>
      <w:r w:rsidRPr="003B6A8E">
        <w:rPr>
          <w:color w:val="000000" w:themeColor="text1"/>
        </w:rPr>
        <w:t>Standard Rules SR2018 No</w:t>
      </w:r>
      <w:r w:rsidR="00903ABD" w:rsidRPr="003B6A8E">
        <w:rPr>
          <w:color w:val="000000" w:themeColor="text1"/>
        </w:rPr>
        <w:t>2</w:t>
      </w:r>
      <w:bookmarkEnd w:id="0"/>
    </w:p>
    <w:p w14:paraId="3294F2A2" w14:textId="077BF4AA" w:rsidR="00564F85" w:rsidRPr="00A25CD8" w:rsidRDefault="00564F85" w:rsidP="003B6A8E">
      <w:pPr>
        <w:pStyle w:val="Heading2"/>
        <w:rPr>
          <w:rStyle w:val="Red"/>
          <w:rFonts w:cs="Arial"/>
          <w:color w:val="auto"/>
          <w:szCs w:val="36"/>
        </w:rPr>
      </w:pPr>
      <w:r w:rsidRPr="00A25CD8">
        <w:rPr>
          <w:rStyle w:val="Red"/>
          <w:rFonts w:cs="Arial"/>
          <w:color w:val="auto"/>
          <w:szCs w:val="36"/>
        </w:rPr>
        <w:t xml:space="preserve">Specified Generator, Tranche B low risk, base load operation </w:t>
      </w:r>
      <w:r w:rsidR="00CC72E5" w:rsidRPr="00A25CD8">
        <w:rPr>
          <w:rStyle w:val="Red"/>
          <w:rFonts w:cs="Arial"/>
          <w:color w:val="auto"/>
          <w:szCs w:val="36"/>
        </w:rPr>
        <w:t xml:space="preserve">between </w:t>
      </w:r>
      <w:r w:rsidR="00A13255" w:rsidRPr="00A25CD8">
        <w:rPr>
          <w:rStyle w:val="Red"/>
          <w:rFonts w:cs="Arial"/>
          <w:color w:val="auto"/>
          <w:szCs w:val="36"/>
        </w:rPr>
        <w:t>0</w:t>
      </w:r>
      <w:r w:rsidRPr="00A25CD8">
        <w:rPr>
          <w:rStyle w:val="Red"/>
          <w:rFonts w:cs="Arial"/>
          <w:color w:val="auto"/>
          <w:szCs w:val="36"/>
        </w:rPr>
        <w:t xml:space="preserve"> </w:t>
      </w:r>
      <w:r w:rsidR="00CC72E5" w:rsidRPr="00A25CD8">
        <w:rPr>
          <w:rStyle w:val="Red"/>
          <w:rFonts w:cs="Arial"/>
          <w:color w:val="auto"/>
          <w:szCs w:val="36"/>
        </w:rPr>
        <w:t>and</w:t>
      </w:r>
      <w:r w:rsidRPr="00A25CD8">
        <w:rPr>
          <w:rStyle w:val="Red"/>
          <w:rFonts w:cs="Arial"/>
          <w:color w:val="auto"/>
          <w:szCs w:val="36"/>
        </w:rPr>
        <w:t xml:space="preserve"> </w:t>
      </w:r>
      <w:r w:rsidR="00D140C4" w:rsidRPr="00A25CD8">
        <w:rPr>
          <w:rStyle w:val="Red"/>
          <w:rFonts w:cs="Arial"/>
          <w:color w:val="auto"/>
          <w:szCs w:val="36"/>
        </w:rPr>
        <w:t>≤</w:t>
      </w:r>
      <w:r w:rsidRPr="00A25CD8">
        <w:rPr>
          <w:rStyle w:val="Red"/>
          <w:rFonts w:cs="Arial"/>
          <w:color w:val="auto"/>
          <w:szCs w:val="36"/>
        </w:rPr>
        <w:t>2MW</w:t>
      </w:r>
      <w:r w:rsidR="00285572" w:rsidRPr="00A25CD8">
        <w:rPr>
          <w:rStyle w:val="Red"/>
          <w:rFonts w:cs="Arial"/>
          <w:color w:val="auto"/>
          <w:szCs w:val="36"/>
        </w:rPr>
        <w:t>th</w:t>
      </w:r>
      <w:r w:rsidR="00D140C4" w:rsidRPr="00A25CD8">
        <w:rPr>
          <w:rStyle w:val="Red"/>
          <w:rFonts w:cs="Arial"/>
          <w:color w:val="auto"/>
          <w:szCs w:val="36"/>
        </w:rPr>
        <w:t>, that may include New Medium Combustion Plant ≥1MWth,</w:t>
      </w:r>
      <w:r w:rsidRPr="00A25CD8">
        <w:rPr>
          <w:rStyle w:val="Red"/>
          <w:rFonts w:cs="Arial"/>
          <w:color w:val="auto"/>
          <w:szCs w:val="36"/>
        </w:rPr>
        <w:t xml:space="preserve"> with high background NOx</w:t>
      </w:r>
    </w:p>
    <w:p w14:paraId="6B567950" w14:textId="77777777" w:rsidR="00564F85" w:rsidRPr="00AB30F0" w:rsidRDefault="00564F85" w:rsidP="00A25CD8">
      <w:pPr>
        <w:pStyle w:val="AgendaHeading"/>
      </w:pPr>
    </w:p>
    <w:p w14:paraId="6C8A83EA" w14:textId="44C7350C" w:rsidR="00564F85" w:rsidRPr="00AB30F0" w:rsidRDefault="00564F85" w:rsidP="00293171">
      <w:pPr>
        <w:pStyle w:val="Heading1"/>
      </w:pPr>
      <w:r w:rsidRPr="00AB30F0">
        <w:t>Introductory note</w:t>
      </w:r>
    </w:p>
    <w:p w14:paraId="294AED0B" w14:textId="77777777" w:rsidR="00564F85" w:rsidRPr="00AB30F0" w:rsidRDefault="00564F85" w:rsidP="00564F85">
      <w:pPr>
        <w:pStyle w:val="BodyText"/>
        <w:rPr>
          <w:rFonts w:cs="Arial"/>
        </w:rPr>
      </w:pPr>
    </w:p>
    <w:p w14:paraId="3595B5C3" w14:textId="5AF1FA0F" w:rsidR="00564F85" w:rsidRPr="00AB30F0" w:rsidRDefault="00564F85" w:rsidP="00564F85">
      <w:pPr>
        <w:rPr>
          <w:rFonts w:cs="Arial"/>
        </w:rPr>
      </w:pPr>
      <w:r w:rsidRPr="00AB30F0">
        <w:rPr>
          <w:rFonts w:eastAsiaTheme="majorEastAsia" w:cs="Arial"/>
        </w:rPr>
        <w:t>This introductory note does not form a part of the</w:t>
      </w:r>
      <w:r w:rsidRPr="00AB30F0">
        <w:rPr>
          <w:rFonts w:cs="Arial"/>
        </w:rPr>
        <w:t>se</w:t>
      </w:r>
      <w:r w:rsidRPr="00AB30F0">
        <w:rPr>
          <w:rFonts w:eastAsiaTheme="majorEastAsia" w:cs="Arial"/>
        </w:rPr>
        <w:t xml:space="preserve"> </w:t>
      </w:r>
      <w:r w:rsidRPr="00AB30F0">
        <w:rPr>
          <w:rFonts w:cs="Arial"/>
        </w:rPr>
        <w:t>standard rules.</w:t>
      </w:r>
    </w:p>
    <w:p w14:paraId="1012F4F5" w14:textId="77777777" w:rsidR="00564F85" w:rsidRPr="00AB30F0" w:rsidRDefault="00564F85" w:rsidP="00564F85">
      <w:pPr>
        <w:rPr>
          <w:rFonts w:eastAsiaTheme="majorEastAsia" w:cs="Arial"/>
        </w:rPr>
      </w:pPr>
    </w:p>
    <w:p w14:paraId="22504195" w14:textId="13CAC8F2" w:rsidR="00D140C4" w:rsidRDefault="00564F85" w:rsidP="00564F85">
      <w:pPr>
        <w:rPr>
          <w:rStyle w:val="Pink"/>
          <w:rFonts w:cs="Arial"/>
          <w:color w:val="auto"/>
        </w:rPr>
      </w:pPr>
      <w:r w:rsidRPr="00AB30F0">
        <w:rPr>
          <w:rFonts w:cs="Arial"/>
        </w:rPr>
        <w:t xml:space="preserve">When referred to in an environmental permit these rules will allow the operator to </w:t>
      </w:r>
      <w:r w:rsidRPr="00AB30F0">
        <w:rPr>
          <w:rStyle w:val="Pink"/>
          <w:rFonts w:cs="Arial"/>
          <w:color w:val="auto"/>
        </w:rPr>
        <w:t>operate one or more Tranche B Specified Generators which are natural gas fired engines</w:t>
      </w:r>
      <w:r w:rsidR="000E4F7E">
        <w:rPr>
          <w:rStyle w:val="Pink"/>
          <w:rFonts w:cs="Arial"/>
          <w:color w:val="auto"/>
        </w:rPr>
        <w:t>, turbines</w:t>
      </w:r>
      <w:r w:rsidRPr="00AB30F0">
        <w:rPr>
          <w:rStyle w:val="Pink"/>
          <w:rFonts w:cs="Arial"/>
          <w:color w:val="auto"/>
        </w:rPr>
        <w:t xml:space="preserve"> or boilers which are CHPs. The individual unit capacity is between </w:t>
      </w:r>
      <w:r w:rsidR="00A13255" w:rsidRPr="00D9349E">
        <w:rPr>
          <w:rStyle w:val="Pink"/>
          <w:rFonts w:cs="Arial"/>
          <w:color w:val="auto"/>
        </w:rPr>
        <w:t>0</w:t>
      </w:r>
      <w:r w:rsidR="00CC72E5">
        <w:rPr>
          <w:rStyle w:val="Pink"/>
          <w:rFonts w:cs="Arial"/>
          <w:color w:val="auto"/>
        </w:rPr>
        <w:t xml:space="preserve"> and</w:t>
      </w:r>
      <w:r w:rsidR="0044019D">
        <w:rPr>
          <w:rStyle w:val="Pink"/>
          <w:rFonts w:cs="Arial"/>
          <w:color w:val="auto"/>
        </w:rPr>
        <w:t xml:space="preserve"> </w:t>
      </w:r>
      <w:r w:rsidR="00D140C4">
        <w:rPr>
          <w:rStyle w:val="Pink"/>
          <w:rFonts w:cs="Arial"/>
          <w:color w:val="auto"/>
        </w:rPr>
        <w:t>≤</w:t>
      </w:r>
      <w:r w:rsidRPr="00D9349E">
        <w:rPr>
          <w:rStyle w:val="Pink"/>
          <w:rFonts w:cs="Arial"/>
          <w:color w:val="auto"/>
        </w:rPr>
        <w:t>2MW</w:t>
      </w:r>
      <w:r w:rsidR="008E4459">
        <w:rPr>
          <w:rStyle w:val="Pink"/>
          <w:rFonts w:cs="Arial"/>
          <w:color w:val="auto"/>
        </w:rPr>
        <w:t>th</w:t>
      </w:r>
      <w:r w:rsidRPr="00D9349E">
        <w:rPr>
          <w:rStyle w:val="Pink"/>
          <w:rFonts w:cs="Arial"/>
          <w:color w:val="auto"/>
        </w:rPr>
        <w:t xml:space="preserve"> and the total is </w:t>
      </w:r>
      <w:r w:rsidR="00D140C4">
        <w:rPr>
          <w:rStyle w:val="Pink"/>
          <w:rFonts w:cs="Arial"/>
          <w:color w:val="auto"/>
        </w:rPr>
        <w:t>≤</w:t>
      </w:r>
      <w:r w:rsidRPr="00D9349E">
        <w:rPr>
          <w:rStyle w:val="Pink"/>
          <w:rFonts w:cs="Arial"/>
          <w:color w:val="auto"/>
        </w:rPr>
        <w:t>2</w:t>
      </w:r>
      <w:r w:rsidRPr="00AB30F0">
        <w:rPr>
          <w:rStyle w:val="Pink"/>
          <w:rFonts w:cs="Arial"/>
          <w:color w:val="auto"/>
        </w:rPr>
        <w:t>MW</w:t>
      </w:r>
      <w:r w:rsidR="008E4459">
        <w:rPr>
          <w:rStyle w:val="Pink"/>
          <w:rFonts w:cs="Arial"/>
          <w:color w:val="auto"/>
        </w:rPr>
        <w:t>th</w:t>
      </w:r>
      <w:r w:rsidRPr="00AB30F0">
        <w:rPr>
          <w:rStyle w:val="Pink"/>
          <w:rFonts w:cs="Arial"/>
          <w:color w:val="auto"/>
        </w:rPr>
        <w:t xml:space="preserve"> at the </w:t>
      </w:r>
      <w:r w:rsidRPr="00AB30F0">
        <w:rPr>
          <w:rStyle w:val="Red"/>
          <w:rFonts w:cs="Arial"/>
          <w:color w:val="auto"/>
        </w:rPr>
        <w:t>specified location</w:t>
      </w:r>
      <w:r w:rsidRPr="00AB30F0">
        <w:rPr>
          <w:rStyle w:val="Pink"/>
          <w:rFonts w:cs="Arial"/>
          <w:color w:val="auto"/>
        </w:rPr>
        <w:t xml:space="preserve"> which may be in urban areas where background NO</w:t>
      </w:r>
      <w:r w:rsidRPr="0044019D">
        <w:rPr>
          <w:rStyle w:val="Pink"/>
          <w:rFonts w:cs="Arial"/>
          <w:color w:val="auto"/>
          <w:sz w:val="16"/>
          <w:szCs w:val="16"/>
        </w:rPr>
        <w:t>2</w:t>
      </w:r>
      <w:r w:rsidRPr="00AB30F0">
        <w:rPr>
          <w:rStyle w:val="Pink"/>
          <w:rFonts w:cs="Arial"/>
          <w:color w:val="auto"/>
        </w:rPr>
        <w:t xml:space="preserve"> is high</w:t>
      </w:r>
      <w:r w:rsidR="00BA5E1C">
        <w:rPr>
          <w:rStyle w:val="Pink"/>
          <w:rFonts w:cs="Arial"/>
          <w:color w:val="auto"/>
        </w:rPr>
        <w:t xml:space="preserve">.  </w:t>
      </w:r>
    </w:p>
    <w:p w14:paraId="19702D02" w14:textId="77777777" w:rsidR="00D140C4" w:rsidRDefault="00D140C4" w:rsidP="00564F85">
      <w:pPr>
        <w:rPr>
          <w:rStyle w:val="Pink"/>
          <w:rFonts w:cs="Arial"/>
          <w:color w:val="auto"/>
        </w:rPr>
      </w:pPr>
    </w:p>
    <w:p w14:paraId="7B7A910F" w14:textId="7F7EC8D4" w:rsidR="00CC72E5" w:rsidRDefault="00D140C4" w:rsidP="00564F85">
      <w:pPr>
        <w:rPr>
          <w:rStyle w:val="Blue"/>
          <w:rFonts w:cs="Arial"/>
        </w:rPr>
      </w:pPr>
      <w:bookmarkStart w:id="1" w:name="_Hlk18929156"/>
      <w:r>
        <w:rPr>
          <w:rStyle w:val="Pink"/>
          <w:rFonts w:cs="Arial"/>
          <w:color w:val="auto"/>
        </w:rPr>
        <w:t xml:space="preserve">Different requirements apply where the generator includes </w:t>
      </w:r>
      <w:r w:rsidR="0094188F">
        <w:rPr>
          <w:rStyle w:val="Pink"/>
          <w:rFonts w:cs="Arial"/>
          <w:color w:val="auto"/>
        </w:rPr>
        <w:t>combustion plant with a thermal rated input of ≥1MWth, brought into operation on or after 20/12/18 (New medium combustion plant). In particular, see Section 3.1 and 3.2.</w:t>
      </w:r>
      <w:bookmarkEnd w:id="1"/>
    </w:p>
    <w:p w14:paraId="34BF6635" w14:textId="77777777" w:rsidR="00564F85" w:rsidRPr="00AB30F0" w:rsidRDefault="00564F85" w:rsidP="00564F85">
      <w:pPr>
        <w:framePr w:hSpace="180" w:wrap="around" w:vAnchor="page" w:hAnchor="margin" w:y="2815"/>
        <w:rPr>
          <w:rStyle w:val="Blue"/>
          <w:rFonts w:cs="Arial"/>
        </w:rPr>
      </w:pPr>
    </w:p>
    <w:p w14:paraId="2C3A3975" w14:textId="76400743" w:rsidR="00564F85" w:rsidRDefault="00564F85" w:rsidP="00564F85">
      <w:pPr>
        <w:rPr>
          <w:rStyle w:val="Pink"/>
          <w:rFonts w:cs="Arial"/>
        </w:rPr>
      </w:pPr>
    </w:p>
    <w:p w14:paraId="1920BE45" w14:textId="638272C4" w:rsidR="00100271" w:rsidRPr="00100271" w:rsidRDefault="00100271" w:rsidP="00100271">
      <w:pPr>
        <w:rPr>
          <w:rStyle w:val="Pink"/>
          <w:rFonts w:cs="Arial"/>
          <w:color w:val="auto"/>
        </w:rPr>
      </w:pPr>
      <w:r w:rsidRPr="00100271">
        <w:rPr>
          <w:rStyle w:val="Pink"/>
          <w:rFonts w:cs="Arial"/>
          <w:color w:val="auto"/>
        </w:rPr>
        <w:t>These standard rules cover the following categories on Tranche B Specified Generators, which can also include new Medium Combustion Plant, burning</w:t>
      </w:r>
      <w:r>
        <w:rPr>
          <w:rStyle w:val="Pink"/>
          <w:rFonts w:cs="Arial"/>
          <w:color w:val="auto"/>
        </w:rPr>
        <w:t xml:space="preserve"> Natural Gas</w:t>
      </w:r>
      <w:r w:rsidRPr="00100271">
        <w:rPr>
          <w:rStyle w:val="Pink"/>
          <w:rFonts w:cs="Arial"/>
          <w:color w:val="auto"/>
        </w:rPr>
        <w:t>:</w:t>
      </w:r>
    </w:p>
    <w:p w14:paraId="40D47097" w14:textId="77777777" w:rsidR="00100271" w:rsidRDefault="00100271" w:rsidP="00100271">
      <w:pPr>
        <w:rPr>
          <w:rStyle w:val="Pink"/>
          <w:rFonts w:cs="Arial"/>
          <w:color w:val="auto"/>
        </w:rPr>
      </w:pPr>
    </w:p>
    <w:p w14:paraId="5E1FD1B0" w14:textId="63C2184F" w:rsidR="00100271" w:rsidRPr="0019680E" w:rsidRDefault="00100271" w:rsidP="00100271">
      <w:pPr>
        <w:rPr>
          <w:rStyle w:val="Pink"/>
          <w:rFonts w:cs="Arial"/>
          <w:color w:val="auto"/>
        </w:rPr>
      </w:pPr>
      <w:bookmarkStart w:id="2" w:name="_Hlk54719841"/>
      <w:r w:rsidRPr="005539FF">
        <w:rPr>
          <w:rStyle w:val="Pink"/>
          <w:rFonts w:cs="Arial"/>
          <w:color w:val="auto"/>
        </w:rPr>
        <w:t>a)</w:t>
      </w:r>
      <w:r w:rsidRPr="005539FF">
        <w:rPr>
          <w:rStyle w:val="Pink"/>
          <w:rFonts w:cs="Arial"/>
          <w:color w:val="auto"/>
        </w:rPr>
        <w:tab/>
        <w:t>The total capacity of all Specified Generator</w:t>
      </w:r>
      <w:r w:rsidR="005539FF" w:rsidRPr="00960264">
        <w:rPr>
          <w:rStyle w:val="Pink"/>
          <w:rFonts w:cs="Arial"/>
          <w:color w:val="auto"/>
        </w:rPr>
        <w:t xml:space="preserve">s which are </w:t>
      </w:r>
      <w:r w:rsidR="002377A0">
        <w:rPr>
          <w:rStyle w:val="Pink"/>
          <w:rFonts w:cs="Arial"/>
          <w:color w:val="auto"/>
        </w:rPr>
        <w:t>g</w:t>
      </w:r>
      <w:r w:rsidR="005539FF" w:rsidRPr="00960264">
        <w:rPr>
          <w:rStyle w:val="Pink"/>
          <w:rFonts w:cs="Arial"/>
          <w:color w:val="auto"/>
        </w:rPr>
        <w:t xml:space="preserve">as </w:t>
      </w:r>
      <w:r w:rsidR="002377A0">
        <w:rPr>
          <w:rStyle w:val="Pink"/>
          <w:rFonts w:cs="Arial"/>
          <w:color w:val="auto"/>
        </w:rPr>
        <w:t>e</w:t>
      </w:r>
      <w:r w:rsidR="005539FF" w:rsidRPr="00960264">
        <w:rPr>
          <w:rStyle w:val="Pink"/>
          <w:rFonts w:cs="Arial"/>
          <w:color w:val="auto"/>
        </w:rPr>
        <w:t xml:space="preserve">ngines, </w:t>
      </w:r>
      <w:r w:rsidR="002377A0">
        <w:rPr>
          <w:rStyle w:val="Pink"/>
          <w:rFonts w:cs="Arial"/>
          <w:color w:val="auto"/>
        </w:rPr>
        <w:t>t</w:t>
      </w:r>
      <w:r w:rsidR="005539FF" w:rsidRPr="00960264">
        <w:rPr>
          <w:rStyle w:val="Pink"/>
          <w:rFonts w:cs="Arial"/>
          <w:color w:val="auto"/>
        </w:rPr>
        <w:t>u</w:t>
      </w:r>
      <w:r w:rsidR="005539FF">
        <w:rPr>
          <w:rStyle w:val="Pink"/>
          <w:rFonts w:cs="Arial"/>
          <w:color w:val="auto"/>
        </w:rPr>
        <w:t>rb</w:t>
      </w:r>
      <w:r w:rsidR="005539FF" w:rsidRPr="00960264">
        <w:rPr>
          <w:rStyle w:val="Pink"/>
          <w:rFonts w:cs="Arial"/>
          <w:color w:val="auto"/>
        </w:rPr>
        <w:t>ines and/or CHP boilers,</w:t>
      </w:r>
      <w:r w:rsidRPr="0019680E">
        <w:rPr>
          <w:rStyle w:val="Pink"/>
          <w:rFonts w:cs="Arial"/>
          <w:color w:val="auto"/>
        </w:rPr>
        <w:t xml:space="preserve"> </w:t>
      </w:r>
      <w:r w:rsidRPr="005539FF">
        <w:rPr>
          <w:rStyle w:val="Pink"/>
          <w:rFonts w:cs="Arial"/>
          <w:color w:val="auto"/>
        </w:rPr>
        <w:t>must have a rated thermal input capacity of ≤</w:t>
      </w:r>
      <w:r w:rsidR="005539FF" w:rsidRPr="00960264">
        <w:rPr>
          <w:rStyle w:val="Pink"/>
          <w:rFonts w:cs="Arial"/>
          <w:color w:val="auto"/>
        </w:rPr>
        <w:t>2</w:t>
      </w:r>
      <w:r w:rsidRPr="0019680E">
        <w:rPr>
          <w:rStyle w:val="Pink"/>
          <w:rFonts w:cs="Arial"/>
          <w:color w:val="auto"/>
        </w:rPr>
        <w:t xml:space="preserve">MWth. </w:t>
      </w:r>
    </w:p>
    <w:p w14:paraId="05BC3DDC" w14:textId="77777777" w:rsidR="00100271" w:rsidRPr="005539FF" w:rsidRDefault="00100271" w:rsidP="00100271">
      <w:pPr>
        <w:rPr>
          <w:rStyle w:val="Pink"/>
          <w:rFonts w:cs="Arial"/>
          <w:color w:val="auto"/>
        </w:rPr>
      </w:pPr>
    </w:p>
    <w:p w14:paraId="219DCA22" w14:textId="282B7906" w:rsidR="00100271" w:rsidRPr="00100271" w:rsidRDefault="00100271" w:rsidP="00100271">
      <w:pPr>
        <w:rPr>
          <w:rStyle w:val="Pink"/>
          <w:rFonts w:cs="Arial"/>
          <w:color w:val="auto"/>
        </w:rPr>
      </w:pPr>
      <w:r w:rsidRPr="005539FF">
        <w:rPr>
          <w:rStyle w:val="Pink"/>
          <w:rFonts w:cs="Arial"/>
          <w:color w:val="auto"/>
        </w:rPr>
        <w:t>b)</w:t>
      </w:r>
      <w:r w:rsidRPr="005539FF">
        <w:rPr>
          <w:rStyle w:val="Pink"/>
          <w:rFonts w:cs="Arial"/>
          <w:color w:val="auto"/>
        </w:rPr>
        <w:tab/>
        <w:t>Rated thermal input of individual new Medium Combustion Plant is ≥1MWth and ≤</w:t>
      </w:r>
      <w:r w:rsidR="005539FF" w:rsidRPr="00960264">
        <w:rPr>
          <w:rStyle w:val="Pink"/>
          <w:rFonts w:cs="Arial"/>
          <w:color w:val="auto"/>
        </w:rPr>
        <w:t>2</w:t>
      </w:r>
      <w:r w:rsidRPr="0019680E">
        <w:rPr>
          <w:rStyle w:val="Pink"/>
          <w:rFonts w:cs="Arial"/>
          <w:color w:val="auto"/>
        </w:rPr>
        <w:t>MWth.</w:t>
      </w:r>
      <w:r w:rsidRPr="00100271">
        <w:rPr>
          <w:rStyle w:val="Pink"/>
          <w:rFonts w:cs="Arial"/>
          <w:color w:val="auto"/>
        </w:rPr>
        <w:t xml:space="preserve"> </w:t>
      </w:r>
    </w:p>
    <w:p w14:paraId="3D605072" w14:textId="77777777" w:rsidR="00100271" w:rsidRPr="00100271" w:rsidRDefault="00100271" w:rsidP="00100271">
      <w:pPr>
        <w:rPr>
          <w:rStyle w:val="Pink"/>
          <w:rFonts w:cs="Arial"/>
          <w:color w:val="auto"/>
        </w:rPr>
      </w:pPr>
    </w:p>
    <w:p w14:paraId="3F06A13E" w14:textId="5FF94F21" w:rsidR="005539FF" w:rsidRDefault="00100271" w:rsidP="00100271">
      <w:pPr>
        <w:rPr>
          <w:rStyle w:val="Pink"/>
          <w:rFonts w:cs="Arial"/>
          <w:color w:val="auto"/>
        </w:rPr>
      </w:pPr>
      <w:r w:rsidRPr="00100271">
        <w:rPr>
          <w:rStyle w:val="Pink"/>
          <w:rFonts w:cs="Arial"/>
          <w:color w:val="auto"/>
        </w:rPr>
        <w:lastRenderedPageBreak/>
        <w:t>c)</w:t>
      </w:r>
      <w:r w:rsidRPr="00100271">
        <w:rPr>
          <w:rStyle w:val="Pink"/>
          <w:rFonts w:cs="Arial"/>
          <w:color w:val="auto"/>
        </w:rPr>
        <w:tab/>
        <w:t xml:space="preserve">Minimum stack height of </w:t>
      </w:r>
      <w:r>
        <w:rPr>
          <w:rStyle w:val="Pink"/>
          <w:rFonts w:cs="Arial"/>
          <w:color w:val="auto"/>
        </w:rPr>
        <w:t>15</w:t>
      </w:r>
      <w:r w:rsidRPr="00100271">
        <w:rPr>
          <w:rStyle w:val="Pink"/>
          <w:rFonts w:cs="Arial"/>
          <w:color w:val="auto"/>
        </w:rPr>
        <w:t xml:space="preserve">m. </w:t>
      </w:r>
    </w:p>
    <w:p w14:paraId="7A5D8558" w14:textId="70D1716F" w:rsidR="00404B53" w:rsidRDefault="00404B53" w:rsidP="00100271">
      <w:pPr>
        <w:rPr>
          <w:rStyle w:val="Pink"/>
          <w:rFonts w:cs="Arial"/>
          <w:color w:val="auto"/>
        </w:rPr>
      </w:pPr>
    </w:p>
    <w:p w14:paraId="5CC47753" w14:textId="3597976B" w:rsidR="00404B53" w:rsidRPr="00100271" w:rsidRDefault="00404B53" w:rsidP="00404B53">
      <w:pPr>
        <w:rPr>
          <w:rStyle w:val="Pink"/>
          <w:rFonts w:cs="Arial"/>
          <w:color w:val="auto"/>
        </w:rPr>
      </w:pPr>
      <w:r>
        <w:rPr>
          <w:rStyle w:val="Pink"/>
          <w:rFonts w:cs="Arial"/>
          <w:color w:val="auto"/>
        </w:rPr>
        <w:t>d</w:t>
      </w:r>
      <w:r w:rsidRPr="00100271">
        <w:rPr>
          <w:rStyle w:val="Pink"/>
          <w:rFonts w:cs="Arial"/>
          <w:color w:val="auto"/>
        </w:rPr>
        <w:t>)</w:t>
      </w:r>
      <w:r w:rsidRPr="00100271">
        <w:rPr>
          <w:rStyle w:val="Pink"/>
          <w:rFonts w:cs="Arial"/>
          <w:color w:val="auto"/>
        </w:rPr>
        <w:tab/>
      </w:r>
      <w:r>
        <w:rPr>
          <w:rStyle w:val="Pink"/>
          <w:rFonts w:cs="Arial"/>
          <w:color w:val="auto"/>
        </w:rPr>
        <w:t>The s</w:t>
      </w:r>
      <w:r w:rsidRPr="00404B53">
        <w:rPr>
          <w:rStyle w:val="Pink"/>
          <w:rFonts w:cs="Arial"/>
          <w:color w:val="auto"/>
        </w:rPr>
        <w:t>tack height above nearby building</w:t>
      </w:r>
      <w:r>
        <w:rPr>
          <w:rStyle w:val="Pink"/>
          <w:rFonts w:cs="Arial"/>
          <w:color w:val="auto"/>
        </w:rPr>
        <w:t>s must be a minimum of 2m.</w:t>
      </w:r>
      <w:r w:rsidRPr="00404B53">
        <w:rPr>
          <w:rStyle w:val="Pink"/>
          <w:rFonts w:cs="Arial"/>
          <w:color w:val="auto"/>
        </w:rPr>
        <w:t xml:space="preserve"> </w:t>
      </w:r>
    </w:p>
    <w:p w14:paraId="606D25D0" w14:textId="77777777" w:rsidR="00100271" w:rsidRPr="00100271" w:rsidRDefault="00100271" w:rsidP="00100271">
      <w:pPr>
        <w:rPr>
          <w:rStyle w:val="Pink"/>
          <w:rFonts w:cs="Arial"/>
          <w:color w:val="auto"/>
        </w:rPr>
      </w:pPr>
    </w:p>
    <w:p w14:paraId="2E0A894F" w14:textId="3CF84A0E" w:rsidR="00100271" w:rsidRPr="00100271" w:rsidRDefault="00404B53" w:rsidP="00100271">
      <w:pPr>
        <w:rPr>
          <w:rStyle w:val="Pink"/>
          <w:rFonts w:cs="Arial"/>
          <w:color w:val="auto"/>
        </w:rPr>
      </w:pPr>
      <w:r>
        <w:rPr>
          <w:rStyle w:val="Pink"/>
          <w:rFonts w:cs="Arial"/>
          <w:color w:val="auto"/>
        </w:rPr>
        <w:t>e</w:t>
      </w:r>
      <w:r w:rsidR="00100271" w:rsidRPr="00100271">
        <w:rPr>
          <w:rStyle w:val="Pink"/>
          <w:rFonts w:cs="Arial"/>
          <w:color w:val="auto"/>
        </w:rPr>
        <w:t>)</w:t>
      </w:r>
      <w:r w:rsidR="00100271" w:rsidRPr="00100271">
        <w:rPr>
          <w:rStyle w:val="Pink"/>
          <w:rFonts w:cs="Arial"/>
          <w:color w:val="auto"/>
        </w:rPr>
        <w:tab/>
      </w:r>
      <w:r w:rsidR="005539FF">
        <w:rPr>
          <w:rStyle w:val="Pink"/>
          <w:rFonts w:cs="Arial"/>
          <w:color w:val="auto"/>
        </w:rPr>
        <w:t>There is no m</w:t>
      </w:r>
      <w:r w:rsidR="00100271" w:rsidRPr="00100271">
        <w:rPr>
          <w:rStyle w:val="Pink"/>
          <w:rFonts w:cs="Arial"/>
          <w:color w:val="auto"/>
        </w:rPr>
        <w:t>inimum distance from any point source emission to a sensitive human receptor</w:t>
      </w:r>
      <w:r w:rsidR="005539FF">
        <w:rPr>
          <w:rStyle w:val="Pink"/>
          <w:rFonts w:cs="Arial"/>
          <w:color w:val="auto"/>
        </w:rPr>
        <w:t>.</w:t>
      </w:r>
      <w:r w:rsidR="00100271" w:rsidRPr="00100271">
        <w:rPr>
          <w:rStyle w:val="Pink"/>
          <w:rFonts w:cs="Arial"/>
          <w:color w:val="auto"/>
        </w:rPr>
        <w:t xml:space="preserve"> </w:t>
      </w:r>
    </w:p>
    <w:p w14:paraId="40900D38" w14:textId="77777777" w:rsidR="00100271" w:rsidRPr="00100271" w:rsidRDefault="00100271" w:rsidP="00100271">
      <w:pPr>
        <w:rPr>
          <w:rStyle w:val="Pink"/>
          <w:rFonts w:cs="Arial"/>
          <w:color w:val="auto"/>
        </w:rPr>
      </w:pPr>
    </w:p>
    <w:p w14:paraId="715802B8" w14:textId="2273BC42" w:rsidR="00100271" w:rsidRPr="00100271" w:rsidRDefault="00404B53" w:rsidP="00100271">
      <w:pPr>
        <w:rPr>
          <w:rStyle w:val="Pink"/>
          <w:rFonts w:cs="Arial"/>
          <w:color w:val="auto"/>
        </w:rPr>
      </w:pPr>
      <w:r>
        <w:rPr>
          <w:rStyle w:val="Pink"/>
          <w:rFonts w:cs="Arial"/>
          <w:color w:val="auto"/>
        </w:rPr>
        <w:t>f</w:t>
      </w:r>
      <w:r w:rsidR="00100271" w:rsidRPr="00100271">
        <w:rPr>
          <w:rStyle w:val="Pink"/>
          <w:rFonts w:cs="Arial"/>
          <w:color w:val="auto"/>
        </w:rPr>
        <w:t>)</w:t>
      </w:r>
      <w:r w:rsidR="00100271" w:rsidRPr="00100271">
        <w:rPr>
          <w:rStyle w:val="Pink"/>
          <w:rFonts w:cs="Arial"/>
          <w:color w:val="auto"/>
        </w:rPr>
        <w:tab/>
        <w:t xml:space="preserve">Minimum distance from any point source emission to a SAC, SPA, Ramsar or SSSI is </w:t>
      </w:r>
      <w:r w:rsidR="005539FF">
        <w:rPr>
          <w:rStyle w:val="Pink"/>
          <w:rFonts w:cs="Arial"/>
          <w:color w:val="auto"/>
        </w:rPr>
        <w:t>5</w:t>
      </w:r>
      <w:r w:rsidR="00100271" w:rsidRPr="00100271">
        <w:rPr>
          <w:rStyle w:val="Pink"/>
          <w:rFonts w:cs="Arial"/>
          <w:color w:val="auto"/>
        </w:rPr>
        <w:t>00m.</w:t>
      </w:r>
    </w:p>
    <w:p w14:paraId="586D43D4" w14:textId="77777777" w:rsidR="00100271" w:rsidRPr="00100271" w:rsidRDefault="00100271" w:rsidP="00100271">
      <w:pPr>
        <w:rPr>
          <w:rStyle w:val="Pink"/>
          <w:rFonts w:cs="Arial"/>
          <w:color w:val="auto"/>
        </w:rPr>
      </w:pPr>
    </w:p>
    <w:p w14:paraId="72D006EF" w14:textId="70DD9368" w:rsidR="00100271" w:rsidRPr="00100271" w:rsidRDefault="00404B53" w:rsidP="00100271">
      <w:pPr>
        <w:rPr>
          <w:rStyle w:val="Pink"/>
          <w:rFonts w:cs="Arial"/>
          <w:color w:val="auto"/>
        </w:rPr>
      </w:pPr>
      <w:r>
        <w:rPr>
          <w:rStyle w:val="Pink"/>
          <w:rFonts w:cs="Arial"/>
          <w:color w:val="auto"/>
        </w:rPr>
        <w:t>g</w:t>
      </w:r>
      <w:r w:rsidR="00100271" w:rsidRPr="00100271">
        <w:rPr>
          <w:rStyle w:val="Pink"/>
          <w:rFonts w:cs="Arial"/>
          <w:color w:val="auto"/>
        </w:rPr>
        <w:t>)</w:t>
      </w:r>
      <w:r w:rsidR="00100271" w:rsidRPr="00100271">
        <w:rPr>
          <w:rStyle w:val="Pink"/>
          <w:rFonts w:cs="Arial"/>
          <w:color w:val="auto"/>
        </w:rPr>
        <w:tab/>
        <w:t>Annual background NO</w:t>
      </w:r>
      <w:r w:rsidR="00100271" w:rsidRPr="00960264">
        <w:rPr>
          <w:rStyle w:val="Pink"/>
          <w:rFonts w:cs="Arial"/>
          <w:color w:val="auto"/>
          <w:vertAlign w:val="subscript"/>
        </w:rPr>
        <w:t>2</w:t>
      </w:r>
      <w:r w:rsidR="00100271" w:rsidRPr="00100271">
        <w:rPr>
          <w:rStyle w:val="Pink"/>
          <w:rFonts w:cs="Arial"/>
          <w:color w:val="auto"/>
        </w:rPr>
        <w:t xml:space="preserve"> concentration </w:t>
      </w:r>
      <w:r w:rsidR="005539FF">
        <w:rPr>
          <w:rStyle w:val="Pink"/>
          <w:rFonts w:cs="Arial"/>
          <w:color w:val="auto"/>
        </w:rPr>
        <w:t xml:space="preserve">must </w:t>
      </w:r>
      <w:r w:rsidR="003E6D7A">
        <w:rPr>
          <w:rStyle w:val="Pink"/>
          <w:rFonts w:cs="Arial"/>
          <w:color w:val="auto"/>
        </w:rPr>
        <w:t xml:space="preserve">not </w:t>
      </w:r>
      <w:r w:rsidR="005539FF">
        <w:rPr>
          <w:rStyle w:val="Pink"/>
          <w:rFonts w:cs="Arial"/>
          <w:color w:val="auto"/>
        </w:rPr>
        <w:t>be</w:t>
      </w:r>
      <w:r w:rsidR="00100271" w:rsidRPr="00100271">
        <w:rPr>
          <w:rStyle w:val="Pink"/>
          <w:rFonts w:cs="Arial"/>
          <w:color w:val="auto"/>
        </w:rPr>
        <w:t xml:space="preserve"> greater than 3</w:t>
      </w:r>
      <w:r w:rsidR="005539FF">
        <w:rPr>
          <w:rStyle w:val="Pink"/>
          <w:rFonts w:cs="Arial"/>
          <w:color w:val="auto"/>
        </w:rPr>
        <w:t>6</w:t>
      </w:r>
      <w:r w:rsidR="00100271" w:rsidRPr="00100271">
        <w:rPr>
          <w:rStyle w:val="Pink"/>
          <w:rFonts w:cs="Arial"/>
          <w:color w:val="auto"/>
        </w:rPr>
        <w:t>µg/m</w:t>
      </w:r>
      <w:r w:rsidR="00100271" w:rsidRPr="00960264">
        <w:rPr>
          <w:rStyle w:val="Pink"/>
          <w:rFonts w:cs="Arial"/>
          <w:color w:val="auto"/>
          <w:vertAlign w:val="superscript"/>
        </w:rPr>
        <w:t>3</w:t>
      </w:r>
      <w:r w:rsidR="00100271" w:rsidRPr="00100271">
        <w:rPr>
          <w:rStyle w:val="Pink"/>
          <w:rFonts w:cs="Arial"/>
          <w:color w:val="auto"/>
        </w:rPr>
        <w:t>.</w:t>
      </w:r>
    </w:p>
    <w:p w14:paraId="31A706BF" w14:textId="77777777" w:rsidR="00100271" w:rsidRPr="00100271" w:rsidRDefault="00100271" w:rsidP="00100271">
      <w:pPr>
        <w:rPr>
          <w:rStyle w:val="Pink"/>
          <w:rFonts w:cs="Arial"/>
          <w:color w:val="auto"/>
        </w:rPr>
      </w:pPr>
    </w:p>
    <w:p w14:paraId="11637EB1" w14:textId="7F6CFABB" w:rsidR="00100271" w:rsidRPr="00100271" w:rsidRDefault="00404B53" w:rsidP="00100271">
      <w:pPr>
        <w:rPr>
          <w:rStyle w:val="Pink"/>
          <w:rFonts w:cs="Arial"/>
          <w:color w:val="auto"/>
        </w:rPr>
      </w:pPr>
      <w:r>
        <w:rPr>
          <w:rStyle w:val="Pink"/>
          <w:rFonts w:cs="Arial"/>
          <w:color w:val="auto"/>
        </w:rPr>
        <w:t>h</w:t>
      </w:r>
      <w:r w:rsidR="00100271" w:rsidRPr="00100271">
        <w:rPr>
          <w:rStyle w:val="Pink"/>
          <w:rFonts w:cs="Arial"/>
          <w:color w:val="auto"/>
        </w:rPr>
        <w:t>)</w:t>
      </w:r>
      <w:r w:rsidR="00100271" w:rsidRPr="00100271">
        <w:rPr>
          <w:rStyle w:val="Pink"/>
          <w:rFonts w:cs="Arial"/>
          <w:color w:val="auto"/>
        </w:rPr>
        <w:tab/>
        <w:t>Specified Generators</w:t>
      </w:r>
      <w:r w:rsidR="00B90488">
        <w:rPr>
          <w:rStyle w:val="Pink"/>
          <w:rFonts w:cs="Arial"/>
          <w:color w:val="auto"/>
        </w:rPr>
        <w:t>, which can also include new Medium Combustion Plant,</w:t>
      </w:r>
      <w:r w:rsidR="00100271" w:rsidRPr="00100271">
        <w:rPr>
          <w:rStyle w:val="Pink"/>
          <w:rFonts w:cs="Arial"/>
          <w:color w:val="auto"/>
        </w:rPr>
        <w:t xml:space="preserve"> shall not be located in an AQMA declared for NO</w:t>
      </w:r>
      <w:r w:rsidR="00100271" w:rsidRPr="00960264">
        <w:rPr>
          <w:rStyle w:val="Pink"/>
          <w:rFonts w:cs="Arial"/>
          <w:color w:val="auto"/>
          <w:vertAlign w:val="subscript"/>
        </w:rPr>
        <w:t>2</w:t>
      </w:r>
      <w:r w:rsidR="00100271" w:rsidRPr="00100271">
        <w:rPr>
          <w:rStyle w:val="Pink"/>
          <w:rFonts w:cs="Arial"/>
          <w:color w:val="auto"/>
        </w:rPr>
        <w:t>.</w:t>
      </w:r>
    </w:p>
    <w:bookmarkEnd w:id="2"/>
    <w:p w14:paraId="7CB3C78D" w14:textId="5A679D91" w:rsidR="00100271" w:rsidRDefault="00100271" w:rsidP="00100271">
      <w:pPr>
        <w:rPr>
          <w:rStyle w:val="Pink"/>
          <w:rFonts w:cs="Arial"/>
        </w:rPr>
      </w:pPr>
    </w:p>
    <w:p w14:paraId="5414B198" w14:textId="77777777" w:rsidR="00100271" w:rsidRPr="00AB30F0" w:rsidRDefault="00100271" w:rsidP="00100271">
      <w:pPr>
        <w:rPr>
          <w:rStyle w:val="Pink"/>
          <w:rFonts w:cs="Arial"/>
        </w:rPr>
      </w:pPr>
    </w:p>
    <w:p w14:paraId="205DC280" w14:textId="0CFD652F" w:rsidR="008C38A6" w:rsidRPr="00AB30F0" w:rsidRDefault="00564F85" w:rsidP="00564F85">
      <w:pPr>
        <w:tabs>
          <w:tab w:val="left" w:pos="5573"/>
        </w:tabs>
        <w:rPr>
          <w:rStyle w:val="Bold"/>
          <w:rFonts w:cs="Arial"/>
        </w:rPr>
      </w:pPr>
      <w:r w:rsidRPr="00AB30F0">
        <w:rPr>
          <w:rStyle w:val="Pink"/>
        </w:rPr>
        <w:t xml:space="preserve"> </w:t>
      </w:r>
      <w:r w:rsidR="00CC72E5" w:rsidRPr="00AB30F0">
        <w:rPr>
          <w:rStyle w:val="Bold"/>
          <w:rFonts w:cs="Arial"/>
        </w:rPr>
        <w:t>End of introductory note</w:t>
      </w:r>
    </w:p>
    <w:p w14:paraId="70D64D69" w14:textId="75B76879" w:rsidR="00564F85" w:rsidRDefault="00564F85" w:rsidP="00564F85">
      <w:pPr>
        <w:tabs>
          <w:tab w:val="left" w:pos="5573"/>
        </w:tabs>
        <w:rPr>
          <w:rStyle w:val="Bold"/>
          <w:rFonts w:cs="Arial"/>
          <w:b w:val="0"/>
        </w:rPr>
      </w:pPr>
    </w:p>
    <w:p w14:paraId="182FE358" w14:textId="77777777" w:rsidR="00CC72E5" w:rsidRPr="00AB30F0" w:rsidRDefault="00CC72E5" w:rsidP="00564F85">
      <w:pPr>
        <w:tabs>
          <w:tab w:val="left" w:pos="5573"/>
        </w:tabs>
        <w:rPr>
          <w:rStyle w:val="Bold"/>
          <w:rFonts w:cs="Arial"/>
          <w:b w:val="0"/>
        </w:rPr>
      </w:pPr>
    </w:p>
    <w:p w14:paraId="6864A516" w14:textId="77777777" w:rsidR="00564F85" w:rsidRPr="00AB30F0" w:rsidRDefault="00564F85" w:rsidP="00564F85">
      <w:pPr>
        <w:rPr>
          <w:rStyle w:val="Bold"/>
          <w:rFonts w:cs="Arial"/>
          <w:sz w:val="28"/>
        </w:rPr>
      </w:pPr>
      <w:r w:rsidRPr="00AB30F0">
        <w:rPr>
          <w:rStyle w:val="Bold"/>
          <w:rFonts w:cs="Arial"/>
          <w:sz w:val="28"/>
        </w:rPr>
        <w:t>Record of changes</w:t>
      </w:r>
    </w:p>
    <w:p w14:paraId="781E2537" w14:textId="77777777" w:rsidR="00564F85" w:rsidRPr="00AB30F0" w:rsidRDefault="00564F85" w:rsidP="00564F85">
      <w:pPr>
        <w:rPr>
          <w:rStyle w:val="Bold"/>
          <w:rFonts w:cs="Arial"/>
          <w:b w:val="0"/>
        </w:rPr>
      </w:pPr>
    </w:p>
    <w:tbl>
      <w:tblPr>
        <w:tblStyle w:val="TableGrid"/>
        <w:tblW w:w="0" w:type="auto"/>
        <w:tblLook w:val="04A0" w:firstRow="1" w:lastRow="0" w:firstColumn="1" w:lastColumn="0" w:noHBand="0" w:noVBand="1"/>
      </w:tblPr>
      <w:tblGrid>
        <w:gridCol w:w="1030"/>
        <w:gridCol w:w="1324"/>
        <w:gridCol w:w="7087"/>
      </w:tblGrid>
      <w:tr w:rsidR="00564F85" w:rsidRPr="008F3990" w14:paraId="5E630038" w14:textId="77777777" w:rsidTr="00960BFC">
        <w:trPr>
          <w:cnfStyle w:val="100000000000" w:firstRow="1" w:lastRow="0" w:firstColumn="0" w:lastColumn="0" w:oddVBand="0" w:evenVBand="0" w:oddHBand="0" w:evenHBand="0" w:firstRowFirstColumn="0" w:firstRowLastColumn="0" w:lastRowFirstColumn="0" w:lastRowLastColumn="0"/>
        </w:trPr>
        <w:tc>
          <w:tcPr>
            <w:tcW w:w="1030" w:type="dxa"/>
            <w:vAlign w:val="center"/>
          </w:tcPr>
          <w:p w14:paraId="3786A239" w14:textId="3A7684AB" w:rsidR="00564F85" w:rsidRPr="008F3990" w:rsidRDefault="00960BFC" w:rsidP="00960BFC">
            <w:pPr>
              <w:ind w:left="0"/>
              <w:rPr>
                <w:rStyle w:val="Bold"/>
                <w:rFonts w:ascii="Arial" w:hAnsi="Arial" w:cs="Arial"/>
                <w:b/>
                <w:color w:val="FFFFFF" w:themeColor="background1"/>
              </w:rPr>
            </w:pPr>
            <w:r w:rsidRPr="008F3990">
              <w:rPr>
                <w:rStyle w:val="Bold"/>
                <w:rFonts w:ascii="Arial" w:hAnsi="Arial" w:cs="Arial"/>
                <w:b/>
                <w:color w:val="000000" w:themeColor="text1"/>
              </w:rPr>
              <w:t>Version</w:t>
            </w:r>
          </w:p>
        </w:tc>
        <w:tc>
          <w:tcPr>
            <w:tcW w:w="1324" w:type="dxa"/>
          </w:tcPr>
          <w:p w14:paraId="430A2645" w14:textId="42E4D7F1" w:rsidR="00564F85" w:rsidRPr="008F3990" w:rsidRDefault="00960BFC" w:rsidP="00960BFC">
            <w:pPr>
              <w:ind w:left="0"/>
              <w:jc w:val="both"/>
              <w:rPr>
                <w:rStyle w:val="Bold"/>
                <w:rFonts w:ascii="Arial" w:hAnsi="Arial" w:cs="Arial"/>
                <w:b/>
                <w:color w:val="000000" w:themeColor="text1"/>
              </w:rPr>
            </w:pPr>
            <w:r w:rsidRPr="008F3990">
              <w:rPr>
                <w:rStyle w:val="Bold"/>
                <w:rFonts w:ascii="Arial" w:hAnsi="Arial" w:cs="Arial"/>
                <w:b/>
                <w:color w:val="000000" w:themeColor="text1"/>
              </w:rPr>
              <w:t xml:space="preserve"> Date</w:t>
            </w:r>
          </w:p>
        </w:tc>
        <w:tc>
          <w:tcPr>
            <w:tcW w:w="7087" w:type="dxa"/>
          </w:tcPr>
          <w:p w14:paraId="776AFC6E" w14:textId="13707328" w:rsidR="00564F85" w:rsidRPr="008F3990" w:rsidRDefault="00960BFC" w:rsidP="00960BFC">
            <w:pPr>
              <w:jc w:val="both"/>
              <w:rPr>
                <w:rStyle w:val="Bold"/>
                <w:rFonts w:ascii="Arial" w:hAnsi="Arial" w:cs="Arial"/>
                <w:b/>
                <w:color w:val="FFFFFF" w:themeColor="background1"/>
              </w:rPr>
            </w:pPr>
            <w:r w:rsidRPr="008F3990">
              <w:rPr>
                <w:rStyle w:val="Bold"/>
                <w:rFonts w:ascii="Arial" w:hAnsi="Arial" w:cs="Arial"/>
                <w:b/>
                <w:color w:val="000000" w:themeColor="text1"/>
              </w:rPr>
              <w:t>Change</w:t>
            </w:r>
          </w:p>
        </w:tc>
      </w:tr>
      <w:tr w:rsidR="00564F85" w:rsidRPr="008F3990" w14:paraId="566A0213" w14:textId="77777777" w:rsidTr="00960BFC">
        <w:tc>
          <w:tcPr>
            <w:tcW w:w="1030" w:type="dxa"/>
          </w:tcPr>
          <w:p w14:paraId="170C52B7" w14:textId="77777777" w:rsidR="00564F85" w:rsidRPr="008F3990" w:rsidRDefault="00564F85" w:rsidP="00B96E34">
            <w:pPr>
              <w:rPr>
                <w:rStyle w:val="Blue"/>
                <w:rFonts w:ascii="Arial" w:hAnsi="Arial" w:cs="Arial"/>
                <w:color w:val="auto"/>
              </w:rPr>
            </w:pPr>
            <w:r w:rsidRPr="008F3990">
              <w:rPr>
                <w:rStyle w:val="Blue"/>
                <w:rFonts w:ascii="Arial" w:hAnsi="Arial" w:cs="Arial"/>
                <w:color w:val="auto"/>
              </w:rPr>
              <w:t>1.0</w:t>
            </w:r>
          </w:p>
        </w:tc>
        <w:tc>
          <w:tcPr>
            <w:tcW w:w="1324" w:type="dxa"/>
          </w:tcPr>
          <w:p w14:paraId="4ECDFF4F" w14:textId="57DE0212" w:rsidR="00564F85" w:rsidRPr="008F3990" w:rsidRDefault="00AB30F0" w:rsidP="00B96E34">
            <w:pPr>
              <w:rPr>
                <w:rStyle w:val="Blue"/>
                <w:rFonts w:ascii="Arial" w:hAnsi="Arial" w:cs="Arial"/>
                <w:color w:val="auto"/>
              </w:rPr>
            </w:pPr>
            <w:r w:rsidRPr="008F3990">
              <w:rPr>
                <w:rStyle w:val="Blue"/>
                <w:rFonts w:ascii="Arial" w:hAnsi="Arial" w:cs="Arial"/>
                <w:color w:val="auto"/>
              </w:rPr>
              <w:t>May 2018</w:t>
            </w:r>
          </w:p>
        </w:tc>
        <w:tc>
          <w:tcPr>
            <w:tcW w:w="7087" w:type="dxa"/>
          </w:tcPr>
          <w:p w14:paraId="4FC868D1" w14:textId="2C6426A1" w:rsidR="00564F85" w:rsidRPr="008F3990" w:rsidRDefault="00564F85" w:rsidP="00B96E34">
            <w:pPr>
              <w:rPr>
                <w:rStyle w:val="Blue"/>
                <w:rFonts w:ascii="Arial" w:hAnsi="Arial" w:cs="Arial"/>
                <w:color w:val="auto"/>
              </w:rPr>
            </w:pPr>
            <w:r w:rsidRPr="008F3990">
              <w:rPr>
                <w:rStyle w:val="Blue"/>
                <w:rFonts w:ascii="Arial" w:hAnsi="Arial" w:cs="Arial"/>
                <w:color w:val="auto"/>
              </w:rPr>
              <w:t xml:space="preserve">Published for SRP consultation </w:t>
            </w:r>
            <w:r w:rsidR="00AB30F0" w:rsidRPr="008F3990">
              <w:rPr>
                <w:rStyle w:val="Blue"/>
                <w:rFonts w:ascii="Arial" w:hAnsi="Arial" w:cs="Arial"/>
                <w:color w:val="auto"/>
              </w:rPr>
              <w:t>May</w:t>
            </w:r>
            <w:r w:rsidRPr="008F3990">
              <w:rPr>
                <w:rStyle w:val="Blue"/>
                <w:rFonts w:ascii="Arial" w:hAnsi="Arial" w:cs="Arial"/>
                <w:color w:val="auto"/>
              </w:rPr>
              <w:t xml:space="preserve"> 2018</w:t>
            </w:r>
          </w:p>
        </w:tc>
      </w:tr>
      <w:tr w:rsidR="00564F85" w:rsidRPr="008F3990" w14:paraId="7A68DD30" w14:textId="77777777" w:rsidTr="00960BFC">
        <w:tc>
          <w:tcPr>
            <w:tcW w:w="1030" w:type="dxa"/>
          </w:tcPr>
          <w:p w14:paraId="3BDE7F2D" w14:textId="77777777" w:rsidR="00564F85" w:rsidRPr="008F3990" w:rsidRDefault="00564F85" w:rsidP="00B96E34">
            <w:pPr>
              <w:rPr>
                <w:rStyle w:val="Blue"/>
                <w:rFonts w:ascii="Arial" w:hAnsi="Arial" w:cs="Arial"/>
              </w:rPr>
            </w:pPr>
            <w:r w:rsidRPr="008F3990">
              <w:rPr>
                <w:rStyle w:val="Blue"/>
                <w:rFonts w:ascii="Arial" w:hAnsi="Arial" w:cs="Arial"/>
                <w:color w:val="auto"/>
              </w:rPr>
              <w:t>2.0</w:t>
            </w:r>
          </w:p>
        </w:tc>
        <w:tc>
          <w:tcPr>
            <w:tcW w:w="1324" w:type="dxa"/>
          </w:tcPr>
          <w:p w14:paraId="61C1A6E1" w14:textId="0E667585" w:rsidR="00564F85" w:rsidRPr="008F3990" w:rsidRDefault="00A13255" w:rsidP="00B96E34">
            <w:pPr>
              <w:rPr>
                <w:rStyle w:val="Blue"/>
                <w:rFonts w:ascii="Arial" w:hAnsi="Arial" w:cs="Arial"/>
                <w:color w:val="auto"/>
                <w:highlight w:val="yellow"/>
              </w:rPr>
            </w:pPr>
            <w:r w:rsidRPr="008F3990">
              <w:rPr>
                <w:rStyle w:val="Blue"/>
                <w:rFonts w:ascii="Arial" w:hAnsi="Arial" w:cs="Arial"/>
                <w:color w:val="auto"/>
              </w:rPr>
              <w:t xml:space="preserve">October </w:t>
            </w:r>
            <w:r w:rsidR="00285572" w:rsidRPr="008F3990">
              <w:rPr>
                <w:rStyle w:val="Blue"/>
                <w:rFonts w:ascii="Arial" w:hAnsi="Arial" w:cs="Arial"/>
                <w:color w:val="auto"/>
              </w:rPr>
              <w:t>2018</w:t>
            </w:r>
          </w:p>
        </w:tc>
        <w:tc>
          <w:tcPr>
            <w:tcW w:w="7087" w:type="dxa"/>
          </w:tcPr>
          <w:p w14:paraId="5D2BF528" w14:textId="35355B7C" w:rsidR="00564F85" w:rsidRPr="008F3990" w:rsidRDefault="00285572" w:rsidP="00B96E34">
            <w:pPr>
              <w:rPr>
                <w:rStyle w:val="Blue"/>
                <w:rFonts w:ascii="Arial" w:hAnsi="Arial" w:cs="Arial"/>
                <w:color w:val="auto"/>
                <w:highlight w:val="yellow"/>
              </w:rPr>
            </w:pPr>
            <w:r w:rsidRPr="008F3990">
              <w:rPr>
                <w:rStyle w:val="Blue"/>
                <w:rFonts w:ascii="Arial" w:hAnsi="Arial" w:cs="Arial"/>
                <w:color w:val="auto"/>
              </w:rPr>
              <w:t>Final</w:t>
            </w:r>
          </w:p>
        </w:tc>
      </w:tr>
      <w:tr w:rsidR="0094188F" w:rsidRPr="008F3990" w14:paraId="64D23C13" w14:textId="77777777" w:rsidTr="00960BFC">
        <w:tc>
          <w:tcPr>
            <w:tcW w:w="1030" w:type="dxa"/>
          </w:tcPr>
          <w:p w14:paraId="34FD89B3" w14:textId="5A34D981" w:rsidR="0094188F" w:rsidRPr="008F3990" w:rsidRDefault="0094188F" w:rsidP="00B96E34">
            <w:pPr>
              <w:rPr>
                <w:rStyle w:val="Blue"/>
                <w:rFonts w:ascii="Arial" w:hAnsi="Arial" w:cs="Arial"/>
                <w:color w:val="auto"/>
              </w:rPr>
            </w:pPr>
            <w:r w:rsidRPr="008F3990">
              <w:rPr>
                <w:rStyle w:val="Blue"/>
                <w:rFonts w:ascii="Arial" w:hAnsi="Arial" w:cs="Arial"/>
                <w:color w:val="auto"/>
              </w:rPr>
              <w:t>3.0</w:t>
            </w:r>
          </w:p>
        </w:tc>
        <w:tc>
          <w:tcPr>
            <w:tcW w:w="1324" w:type="dxa"/>
          </w:tcPr>
          <w:p w14:paraId="7D9870AA" w14:textId="6CE4920E" w:rsidR="0094188F" w:rsidRPr="008F3990" w:rsidRDefault="003B26F9" w:rsidP="00B96E34">
            <w:pPr>
              <w:rPr>
                <w:rStyle w:val="Blue"/>
                <w:rFonts w:ascii="Arial" w:hAnsi="Arial" w:cs="Arial"/>
                <w:color w:val="auto"/>
              </w:rPr>
            </w:pPr>
            <w:r w:rsidRPr="008F3990">
              <w:rPr>
                <w:rStyle w:val="Blue"/>
                <w:rFonts w:ascii="Arial" w:hAnsi="Arial" w:cs="Arial"/>
                <w:color w:val="auto"/>
              </w:rPr>
              <w:t>November</w:t>
            </w:r>
            <w:r w:rsidRPr="008F3990">
              <w:rPr>
                <w:rStyle w:val="Blue"/>
                <w:rFonts w:ascii="Arial" w:hAnsi="Arial" w:cs="Arial"/>
              </w:rPr>
              <w:t xml:space="preserve"> </w:t>
            </w:r>
            <w:r w:rsidR="0094188F" w:rsidRPr="008F3990">
              <w:rPr>
                <w:rStyle w:val="Blue"/>
                <w:rFonts w:ascii="Arial" w:hAnsi="Arial" w:cs="Arial"/>
                <w:color w:val="auto"/>
              </w:rPr>
              <w:t>2019</w:t>
            </w:r>
          </w:p>
        </w:tc>
        <w:tc>
          <w:tcPr>
            <w:tcW w:w="7087" w:type="dxa"/>
          </w:tcPr>
          <w:p w14:paraId="5C272563" w14:textId="23A4BBC5" w:rsidR="0094188F" w:rsidRPr="008F3990" w:rsidRDefault="0094188F" w:rsidP="00B96E34">
            <w:pPr>
              <w:rPr>
                <w:rStyle w:val="Blue"/>
                <w:rFonts w:ascii="Arial" w:hAnsi="Arial" w:cs="Arial"/>
                <w:color w:val="auto"/>
              </w:rPr>
            </w:pPr>
            <w:r w:rsidRPr="008F3990">
              <w:rPr>
                <w:rStyle w:val="Blue"/>
                <w:rFonts w:ascii="Arial" w:hAnsi="Arial" w:cs="Arial"/>
                <w:color w:val="auto"/>
              </w:rPr>
              <w:t>Amended to incorporate requirements for New Medium Combustion Plant</w:t>
            </w:r>
          </w:p>
        </w:tc>
      </w:tr>
      <w:tr w:rsidR="00C056CF" w:rsidRPr="008F3990" w14:paraId="1FB24863" w14:textId="77777777" w:rsidTr="00960BFC">
        <w:tc>
          <w:tcPr>
            <w:tcW w:w="1030" w:type="dxa"/>
          </w:tcPr>
          <w:p w14:paraId="4802B51D" w14:textId="62C52D8A" w:rsidR="00C056CF" w:rsidRPr="008F3990" w:rsidRDefault="00C056CF" w:rsidP="00C056CF">
            <w:pPr>
              <w:rPr>
                <w:rStyle w:val="Blue"/>
                <w:rFonts w:ascii="Arial" w:hAnsi="Arial" w:cs="Arial"/>
                <w:color w:val="auto"/>
              </w:rPr>
            </w:pPr>
            <w:r w:rsidRPr="008F3990">
              <w:rPr>
                <w:rStyle w:val="Blue"/>
                <w:rFonts w:ascii="Arial" w:hAnsi="Arial" w:cs="Arial"/>
                <w:color w:val="auto"/>
              </w:rPr>
              <w:t>4.0</w:t>
            </w:r>
          </w:p>
        </w:tc>
        <w:tc>
          <w:tcPr>
            <w:tcW w:w="1324" w:type="dxa"/>
          </w:tcPr>
          <w:p w14:paraId="2AEAE7D7" w14:textId="4170F667" w:rsidR="00C056CF" w:rsidRPr="008F3990" w:rsidRDefault="00C056CF" w:rsidP="00C056CF">
            <w:pPr>
              <w:rPr>
                <w:rStyle w:val="Blue"/>
                <w:rFonts w:ascii="Arial" w:hAnsi="Arial" w:cs="Arial"/>
                <w:color w:val="auto"/>
              </w:rPr>
            </w:pPr>
            <w:r w:rsidRPr="008F3990">
              <w:rPr>
                <w:rStyle w:val="Blue"/>
                <w:rFonts w:ascii="Arial" w:hAnsi="Arial" w:cs="Arial"/>
                <w:color w:val="auto"/>
              </w:rPr>
              <w:t>April 2020</w:t>
            </w:r>
          </w:p>
        </w:tc>
        <w:tc>
          <w:tcPr>
            <w:tcW w:w="7087" w:type="dxa"/>
          </w:tcPr>
          <w:p w14:paraId="10CCE678" w14:textId="25A99D25" w:rsidR="00C056CF" w:rsidRPr="008F3990" w:rsidRDefault="00C056CF" w:rsidP="00C056CF">
            <w:pPr>
              <w:rPr>
                <w:rStyle w:val="Blue"/>
                <w:rFonts w:ascii="Arial" w:hAnsi="Arial" w:cs="Arial"/>
                <w:color w:val="auto"/>
              </w:rPr>
            </w:pPr>
            <w:r w:rsidRPr="008F3990">
              <w:rPr>
                <w:rStyle w:val="Blue"/>
                <w:rFonts w:ascii="Arial" w:hAnsi="Arial" w:cs="Arial"/>
                <w:color w:val="auto"/>
              </w:rPr>
              <w:t>Revised SRP to incorporate requirements for New Medium Combustion Plant</w:t>
            </w:r>
          </w:p>
        </w:tc>
      </w:tr>
      <w:tr w:rsidR="00176F81" w:rsidRPr="008F3990" w14:paraId="530DA7FF" w14:textId="77777777" w:rsidTr="00960BFC">
        <w:tc>
          <w:tcPr>
            <w:tcW w:w="1030" w:type="dxa"/>
          </w:tcPr>
          <w:p w14:paraId="1E42624A" w14:textId="58B6FA6C" w:rsidR="00176F81" w:rsidRPr="008F3990" w:rsidRDefault="00176F81" w:rsidP="00C056CF">
            <w:pPr>
              <w:rPr>
                <w:rStyle w:val="Blue"/>
                <w:rFonts w:ascii="Arial" w:hAnsi="Arial" w:cs="Arial"/>
                <w:color w:val="auto"/>
              </w:rPr>
            </w:pPr>
            <w:r w:rsidRPr="008F3990">
              <w:rPr>
                <w:rStyle w:val="Blue"/>
                <w:rFonts w:ascii="Arial" w:hAnsi="Arial" w:cs="Arial"/>
                <w:color w:val="auto"/>
              </w:rPr>
              <w:t>5.0</w:t>
            </w:r>
          </w:p>
        </w:tc>
        <w:tc>
          <w:tcPr>
            <w:tcW w:w="1324" w:type="dxa"/>
          </w:tcPr>
          <w:p w14:paraId="73C181F4" w14:textId="6A51B974" w:rsidR="00176F81" w:rsidRPr="008F3990" w:rsidRDefault="00CF1AAB" w:rsidP="00C056CF">
            <w:pPr>
              <w:rPr>
                <w:rStyle w:val="Blue"/>
                <w:rFonts w:ascii="Arial" w:hAnsi="Arial" w:cs="Arial"/>
                <w:color w:val="auto"/>
              </w:rPr>
            </w:pPr>
            <w:r w:rsidRPr="008F3990">
              <w:rPr>
                <w:rStyle w:val="Blue"/>
                <w:rFonts w:ascii="Arial" w:hAnsi="Arial" w:cs="Arial"/>
                <w:color w:val="auto"/>
              </w:rPr>
              <w:t xml:space="preserve">November </w:t>
            </w:r>
            <w:r w:rsidR="00176F81" w:rsidRPr="008F3990">
              <w:rPr>
                <w:rStyle w:val="Blue"/>
                <w:rFonts w:ascii="Arial" w:hAnsi="Arial" w:cs="Arial"/>
                <w:color w:val="auto"/>
              </w:rPr>
              <w:t>2020</w:t>
            </w:r>
          </w:p>
        </w:tc>
        <w:tc>
          <w:tcPr>
            <w:tcW w:w="7087" w:type="dxa"/>
          </w:tcPr>
          <w:p w14:paraId="61A35C02" w14:textId="0CBAEE19" w:rsidR="00176F81" w:rsidRPr="008F3990" w:rsidRDefault="00176F81" w:rsidP="00C056CF">
            <w:pPr>
              <w:rPr>
                <w:rStyle w:val="Blue"/>
                <w:rFonts w:ascii="Arial" w:hAnsi="Arial" w:cs="Arial"/>
                <w:color w:val="auto"/>
              </w:rPr>
            </w:pPr>
            <w:r w:rsidRPr="008F3990">
              <w:rPr>
                <w:rStyle w:val="Blue"/>
                <w:rFonts w:ascii="Arial" w:hAnsi="Arial" w:cs="Arial"/>
                <w:color w:val="auto"/>
              </w:rPr>
              <w:t>SRP format changed to make web accessible (no material changes to SRP itself)</w:t>
            </w:r>
          </w:p>
        </w:tc>
      </w:tr>
    </w:tbl>
    <w:p w14:paraId="23FA7C97" w14:textId="77777777" w:rsidR="00564F85" w:rsidRPr="00AB30F0" w:rsidRDefault="00564F85" w:rsidP="00564F85">
      <w:pPr>
        <w:tabs>
          <w:tab w:val="left" w:pos="3067"/>
        </w:tabs>
        <w:rPr>
          <w:rStyle w:val="Bold"/>
          <w:rFonts w:cs="Arial"/>
          <w:color w:val="A5A5A5" w:themeColor="accent3"/>
        </w:rPr>
        <w:sectPr w:rsidR="00564F85" w:rsidRPr="00AB30F0" w:rsidSect="00B96E34">
          <w:headerReference w:type="default" r:id="rId13"/>
          <w:footerReference w:type="default" r:id="rId14"/>
          <w:pgSz w:w="11906" w:h="16838" w:code="9"/>
          <w:pgMar w:top="1134" w:right="1134" w:bottom="1134" w:left="1134" w:header="397" w:footer="397" w:gutter="0"/>
          <w:cols w:space="708"/>
          <w:docGrid w:linePitch="360"/>
        </w:sectPr>
      </w:pPr>
      <w:r w:rsidRPr="00AB30F0">
        <w:rPr>
          <w:rStyle w:val="BlueBold"/>
          <w:rFonts w:cs="Arial"/>
        </w:rPr>
        <w:tab/>
      </w:r>
    </w:p>
    <w:p w14:paraId="5B8A73F6" w14:textId="77777777" w:rsidR="00564F85" w:rsidRPr="00AB30F0" w:rsidRDefault="00564F85" w:rsidP="00564F85">
      <w:pPr>
        <w:pStyle w:val="Heading1"/>
        <w:rPr>
          <w:rFonts w:cs="Arial"/>
          <w:color w:val="auto"/>
          <w:sz w:val="36"/>
        </w:rPr>
      </w:pPr>
      <w:r w:rsidRPr="00AB30F0">
        <w:rPr>
          <w:rFonts w:cs="Arial"/>
          <w:color w:val="auto"/>
          <w:sz w:val="36"/>
        </w:rPr>
        <w:lastRenderedPageBreak/>
        <w:t>Rules</w:t>
      </w:r>
    </w:p>
    <w:p w14:paraId="698F8CAA" w14:textId="77777777" w:rsidR="00564F85" w:rsidRPr="00AB30F0" w:rsidRDefault="00564F85" w:rsidP="00564F85">
      <w:pPr>
        <w:pStyle w:val="Bullet"/>
        <w:tabs>
          <w:tab w:val="clear" w:pos="680"/>
        </w:tabs>
        <w:rPr>
          <w:rFonts w:ascii="Arial" w:hAnsi="Arial" w:cs="Arial"/>
          <w:sz w:val="36"/>
        </w:rPr>
      </w:pPr>
      <w:r w:rsidRPr="00AB30F0">
        <w:rPr>
          <w:rFonts w:ascii="Arial" w:hAnsi="Arial" w:cs="Arial"/>
          <w:sz w:val="36"/>
        </w:rPr>
        <w:t>Management</w:t>
      </w:r>
    </w:p>
    <w:p w14:paraId="43144FF7" w14:textId="109674CD" w:rsidR="00564F85" w:rsidRPr="00AB30F0" w:rsidRDefault="00564F85" w:rsidP="00564F85">
      <w:pPr>
        <w:pStyle w:val="BodyText"/>
        <w:rPr>
          <w:rFonts w:cs="Arial"/>
          <w:b/>
          <w:sz w:val="28"/>
        </w:rPr>
      </w:pPr>
      <w:r w:rsidRPr="00AB30F0">
        <w:rPr>
          <w:rFonts w:cs="Arial"/>
          <w:b/>
          <w:sz w:val="28"/>
        </w:rPr>
        <w:t>1.1 General Management</w:t>
      </w:r>
      <w:bookmarkStart w:id="3" w:name="_Ref373938749"/>
    </w:p>
    <w:p w14:paraId="7FA3A142" w14:textId="77777777" w:rsidR="00564F85" w:rsidRPr="00AB30F0" w:rsidRDefault="00564F85" w:rsidP="00564F85">
      <w:pPr>
        <w:pStyle w:val="Bullet1"/>
        <w:rPr>
          <w:rFonts w:ascii="Arial" w:hAnsi="Arial" w:cs="Arial"/>
        </w:rPr>
      </w:pPr>
      <w:bookmarkStart w:id="4" w:name="_Ref373938830"/>
      <w:bookmarkEnd w:id="3"/>
      <w:r w:rsidRPr="00AB30F0">
        <w:rPr>
          <w:rFonts w:ascii="Arial" w:hAnsi="Arial" w:cs="Arial"/>
        </w:rPr>
        <w:t>The operator shall manage and operate the activities:</w:t>
      </w:r>
      <w:bookmarkEnd w:id="4"/>
    </w:p>
    <w:p w14:paraId="436E5A10" w14:textId="77777777" w:rsidR="00564F85" w:rsidRPr="00AB30F0" w:rsidRDefault="00564F85" w:rsidP="00564F85">
      <w:pPr>
        <w:pStyle w:val="AlphaBulletL3"/>
        <w:numPr>
          <w:ilvl w:val="2"/>
          <w:numId w:val="9"/>
        </w:numPr>
        <w:rPr>
          <w:rFonts w:ascii="Arial" w:hAnsi="Arial" w:cs="Arial"/>
        </w:rPr>
      </w:pPr>
      <w:r w:rsidRPr="00AB30F0">
        <w:rPr>
          <w:rFonts w:ascii="Arial" w:hAnsi="Arial" w:cs="Arial"/>
        </w:rPr>
        <w:t>in accordance with a written management system that identifies and minimises risks of pollution, so far as is reasonably practicable, including those risks arising from operations, maintenance, accidents, incidents, non-conformances and those drawn to the attention of the operator as a result of complaints; and</w:t>
      </w:r>
    </w:p>
    <w:p w14:paraId="7B81DFAA" w14:textId="77777777" w:rsidR="00564F85" w:rsidRPr="00AB30F0" w:rsidRDefault="00564F85" w:rsidP="00564F85">
      <w:pPr>
        <w:pStyle w:val="AlphaBulletL3"/>
        <w:numPr>
          <w:ilvl w:val="2"/>
          <w:numId w:val="9"/>
        </w:numPr>
        <w:rPr>
          <w:rFonts w:ascii="Arial" w:hAnsi="Arial" w:cs="Arial"/>
        </w:rPr>
      </w:pPr>
      <w:r w:rsidRPr="00AB30F0">
        <w:rPr>
          <w:rFonts w:ascii="Arial" w:hAnsi="Arial" w:cs="Arial"/>
        </w:rPr>
        <w:t>using sufficient competent persons and resources.</w:t>
      </w:r>
    </w:p>
    <w:p w14:paraId="406E8461" w14:textId="77777777" w:rsidR="00564F85" w:rsidRPr="00AB30F0" w:rsidRDefault="00564F85" w:rsidP="00564F85">
      <w:pPr>
        <w:pStyle w:val="Bullet1"/>
        <w:rPr>
          <w:rFonts w:ascii="Arial" w:hAnsi="Arial" w:cs="Arial"/>
        </w:rPr>
      </w:pPr>
      <w:r w:rsidRPr="00AB30F0">
        <w:rPr>
          <w:rFonts w:ascii="Arial" w:hAnsi="Arial" w:cs="Arial"/>
        </w:rPr>
        <w:t xml:space="preserve">Records demonstrating compliance with rule 1.1.1 shall be maintained. </w:t>
      </w:r>
    </w:p>
    <w:p w14:paraId="6AD94E62" w14:textId="77777777" w:rsidR="00564F85" w:rsidRPr="00AB30F0" w:rsidRDefault="00564F85" w:rsidP="00564F85">
      <w:pPr>
        <w:pStyle w:val="Bullet1"/>
        <w:rPr>
          <w:rFonts w:ascii="Arial" w:hAnsi="Arial" w:cs="Arial"/>
        </w:rPr>
      </w:pPr>
      <w:r w:rsidRPr="00AB30F0">
        <w:rPr>
          <w:rFonts w:ascii="Arial" w:hAnsi="Arial" w:cs="Arial"/>
        </w:rPr>
        <w:t>Any person having duties that are or may be affected by the matters set out in these standard rules shall have convenient access to a copy of the permit.</w:t>
      </w:r>
    </w:p>
    <w:p w14:paraId="2DA0FAF1" w14:textId="77777777" w:rsidR="00564F85" w:rsidRPr="00AB30F0" w:rsidRDefault="00564F85" w:rsidP="00564F85">
      <w:pPr>
        <w:pStyle w:val="Bullet"/>
        <w:keepNext/>
        <w:rPr>
          <w:rFonts w:ascii="Arial" w:hAnsi="Arial" w:cs="Arial"/>
        </w:rPr>
      </w:pPr>
      <w:r w:rsidRPr="00AB30F0">
        <w:rPr>
          <w:rFonts w:ascii="Arial" w:hAnsi="Arial" w:cs="Arial"/>
        </w:rPr>
        <w:t>Operations</w:t>
      </w:r>
    </w:p>
    <w:p w14:paraId="13C7B46A" w14:textId="77777777" w:rsidR="00564F85" w:rsidRPr="00AB30F0" w:rsidRDefault="00564F85" w:rsidP="00564F85">
      <w:pPr>
        <w:pStyle w:val="Bullet0"/>
        <w:keepNext/>
        <w:rPr>
          <w:rFonts w:ascii="Arial" w:hAnsi="Arial" w:cs="Arial"/>
        </w:rPr>
      </w:pPr>
      <w:r w:rsidRPr="00AB30F0">
        <w:rPr>
          <w:rFonts w:ascii="Arial" w:hAnsi="Arial" w:cs="Arial"/>
        </w:rPr>
        <w:t>Permitted activities</w:t>
      </w:r>
    </w:p>
    <w:p w14:paraId="6F60F735" w14:textId="4C89127F" w:rsidR="00564F85" w:rsidRPr="0019680E" w:rsidRDefault="00564F85" w:rsidP="00960264">
      <w:pPr>
        <w:pStyle w:val="Bullet1"/>
        <w:rPr>
          <w:rFonts w:ascii="Arial" w:hAnsi="Arial" w:cs="Arial"/>
        </w:rPr>
      </w:pPr>
      <w:r w:rsidRPr="00B90488">
        <w:rPr>
          <w:rFonts w:ascii="Arial" w:hAnsi="Arial" w:cs="Arial"/>
        </w:rPr>
        <w:t>The</w:t>
      </w:r>
      <w:r w:rsidR="00B90488" w:rsidRPr="00B90488">
        <w:rPr>
          <w:rFonts w:ascii="Arial" w:hAnsi="Arial" w:cs="Arial"/>
        </w:rPr>
        <w:t>se standard rules cover the following categories on Tranche B Specified Generators, including Tranche B Specified Generators which are also new Medium Combustion Plant</w:t>
      </w:r>
      <w:r w:rsidR="00B90488">
        <w:rPr>
          <w:rFonts w:ascii="Arial" w:hAnsi="Arial" w:cs="Arial"/>
        </w:rPr>
        <w:t>, burning Natural Gas</w:t>
      </w:r>
      <w:r w:rsidR="006457E9">
        <w:rPr>
          <w:rFonts w:ascii="Arial" w:hAnsi="Arial" w:cs="Arial"/>
        </w:rPr>
        <w:t>:</w:t>
      </w:r>
      <w:r w:rsidR="00B90488">
        <w:rPr>
          <w:rFonts w:ascii="Arial" w:hAnsi="Arial" w:cs="Arial"/>
        </w:rPr>
        <w:t xml:space="preserve"> </w:t>
      </w:r>
    </w:p>
    <w:p w14:paraId="660C5159" w14:textId="19A7118E" w:rsidR="00B90488" w:rsidRDefault="00B90488" w:rsidP="00B90488">
      <w:pPr>
        <w:pStyle w:val="ListParagraph"/>
        <w:numPr>
          <w:ilvl w:val="3"/>
          <w:numId w:val="14"/>
        </w:numPr>
        <w:rPr>
          <w:rFonts w:ascii="Arial" w:eastAsiaTheme="majorEastAsia" w:hAnsi="Arial" w:cs="Arial"/>
          <w:bCs/>
        </w:rPr>
      </w:pPr>
      <w:r w:rsidRPr="00C866F4">
        <w:rPr>
          <w:rFonts w:ascii="Arial" w:eastAsiaTheme="majorEastAsia" w:hAnsi="Arial" w:cs="Arial"/>
          <w:bCs/>
        </w:rPr>
        <w:t xml:space="preserve">The </w:t>
      </w:r>
      <w:r w:rsidR="006457E9" w:rsidRPr="006457E9">
        <w:rPr>
          <w:rFonts w:ascii="Arial" w:eastAsiaTheme="majorEastAsia" w:hAnsi="Arial" w:cs="Arial"/>
          <w:bCs/>
        </w:rPr>
        <w:t xml:space="preserve">total capacity of all Specified Generators which are </w:t>
      </w:r>
      <w:r w:rsidR="002377A0">
        <w:rPr>
          <w:rFonts w:ascii="Arial" w:eastAsiaTheme="majorEastAsia" w:hAnsi="Arial" w:cs="Arial"/>
          <w:bCs/>
        </w:rPr>
        <w:t>g</w:t>
      </w:r>
      <w:r w:rsidR="006457E9" w:rsidRPr="006457E9">
        <w:rPr>
          <w:rFonts w:ascii="Arial" w:eastAsiaTheme="majorEastAsia" w:hAnsi="Arial" w:cs="Arial"/>
          <w:bCs/>
        </w:rPr>
        <w:t xml:space="preserve">as </w:t>
      </w:r>
      <w:r w:rsidR="002377A0">
        <w:rPr>
          <w:rFonts w:ascii="Arial" w:eastAsiaTheme="majorEastAsia" w:hAnsi="Arial" w:cs="Arial"/>
          <w:bCs/>
        </w:rPr>
        <w:t>e</w:t>
      </w:r>
      <w:r w:rsidR="006457E9" w:rsidRPr="006457E9">
        <w:rPr>
          <w:rFonts w:ascii="Arial" w:eastAsiaTheme="majorEastAsia" w:hAnsi="Arial" w:cs="Arial"/>
          <w:bCs/>
        </w:rPr>
        <w:t xml:space="preserve">ngines, </w:t>
      </w:r>
      <w:r w:rsidR="002377A0">
        <w:rPr>
          <w:rFonts w:ascii="Arial" w:eastAsiaTheme="majorEastAsia" w:hAnsi="Arial" w:cs="Arial"/>
          <w:bCs/>
        </w:rPr>
        <w:t>t</w:t>
      </w:r>
      <w:r w:rsidR="006457E9" w:rsidRPr="006457E9">
        <w:rPr>
          <w:rFonts w:ascii="Arial" w:eastAsiaTheme="majorEastAsia" w:hAnsi="Arial" w:cs="Arial"/>
          <w:bCs/>
        </w:rPr>
        <w:t>urbines or CHP boilers, must have a rated thermal input capacity of ≤2MWth.</w:t>
      </w:r>
    </w:p>
    <w:p w14:paraId="0199B48E" w14:textId="01BECA10" w:rsidR="00B90488" w:rsidRPr="007656A2" w:rsidRDefault="00B90488" w:rsidP="00B90488">
      <w:pPr>
        <w:pStyle w:val="ListParagraph"/>
        <w:numPr>
          <w:ilvl w:val="3"/>
          <w:numId w:val="14"/>
        </w:numPr>
        <w:rPr>
          <w:rFonts w:ascii="Arial" w:eastAsiaTheme="majorEastAsia" w:hAnsi="Arial" w:cs="Arial"/>
          <w:bCs/>
        </w:rPr>
      </w:pPr>
      <w:r w:rsidRPr="007656A2">
        <w:rPr>
          <w:rFonts w:ascii="Arial" w:eastAsiaTheme="majorEastAsia" w:hAnsi="Arial" w:cs="Arial"/>
          <w:bCs/>
        </w:rPr>
        <w:t>Rated thermal input of individual new Medium Combustion Plant is ≥1MWth and ≤</w:t>
      </w:r>
      <w:r w:rsidR="003322BE">
        <w:rPr>
          <w:rFonts w:ascii="Arial" w:eastAsiaTheme="majorEastAsia" w:hAnsi="Arial" w:cs="Arial"/>
          <w:bCs/>
        </w:rPr>
        <w:t>2</w:t>
      </w:r>
      <w:r w:rsidRPr="007656A2">
        <w:rPr>
          <w:rFonts w:ascii="Arial" w:eastAsiaTheme="majorEastAsia" w:hAnsi="Arial" w:cs="Arial"/>
          <w:bCs/>
        </w:rPr>
        <w:t xml:space="preserve">MWth. </w:t>
      </w:r>
    </w:p>
    <w:p w14:paraId="00B04A50" w14:textId="2ED5634B" w:rsidR="00B90488" w:rsidRDefault="00B90488" w:rsidP="00B90488">
      <w:pPr>
        <w:pStyle w:val="ListParagraph"/>
        <w:numPr>
          <w:ilvl w:val="3"/>
          <w:numId w:val="14"/>
        </w:numPr>
        <w:rPr>
          <w:rFonts w:ascii="Arial" w:eastAsiaTheme="majorEastAsia" w:hAnsi="Arial" w:cs="Arial"/>
          <w:bCs/>
        </w:rPr>
      </w:pPr>
      <w:r w:rsidRPr="007656A2">
        <w:rPr>
          <w:rFonts w:ascii="Arial" w:eastAsiaTheme="majorEastAsia" w:hAnsi="Arial" w:cs="Arial"/>
          <w:bCs/>
        </w:rPr>
        <w:t xml:space="preserve">Minimum stack height of </w:t>
      </w:r>
      <w:r w:rsidR="003322BE">
        <w:rPr>
          <w:rFonts w:ascii="Arial" w:eastAsiaTheme="majorEastAsia" w:hAnsi="Arial" w:cs="Arial"/>
          <w:bCs/>
        </w:rPr>
        <w:t>15</w:t>
      </w:r>
      <w:r w:rsidRPr="007656A2">
        <w:rPr>
          <w:rFonts w:ascii="Arial" w:eastAsiaTheme="majorEastAsia" w:hAnsi="Arial" w:cs="Arial"/>
          <w:bCs/>
        </w:rPr>
        <w:t xml:space="preserve">m. </w:t>
      </w:r>
    </w:p>
    <w:p w14:paraId="4B4EFD9A" w14:textId="19E96567" w:rsidR="002377A0" w:rsidRPr="007656A2" w:rsidRDefault="002377A0" w:rsidP="00B90488">
      <w:pPr>
        <w:pStyle w:val="ListParagraph"/>
        <w:numPr>
          <w:ilvl w:val="3"/>
          <w:numId w:val="14"/>
        </w:numPr>
        <w:rPr>
          <w:rFonts w:ascii="Arial" w:eastAsiaTheme="majorEastAsia" w:hAnsi="Arial" w:cs="Arial"/>
          <w:bCs/>
        </w:rPr>
      </w:pPr>
      <w:r>
        <w:rPr>
          <w:rFonts w:ascii="Arial" w:eastAsiaTheme="majorEastAsia" w:hAnsi="Arial" w:cs="Arial"/>
          <w:bCs/>
        </w:rPr>
        <w:t xml:space="preserve">The </w:t>
      </w:r>
      <w:r w:rsidRPr="002377A0">
        <w:rPr>
          <w:rFonts w:ascii="Arial" w:eastAsiaTheme="majorEastAsia" w:hAnsi="Arial" w:cs="Arial"/>
          <w:bCs/>
        </w:rPr>
        <w:t>stack height above nearby buildings must be a minimum of 2m.</w:t>
      </w:r>
    </w:p>
    <w:p w14:paraId="061F7E50" w14:textId="0527ACB4" w:rsidR="00B90488" w:rsidRPr="007656A2" w:rsidRDefault="002377A0" w:rsidP="00B90488">
      <w:pPr>
        <w:pStyle w:val="ListParagraph"/>
        <w:numPr>
          <w:ilvl w:val="3"/>
          <w:numId w:val="14"/>
        </w:numPr>
        <w:rPr>
          <w:rFonts w:ascii="Arial" w:eastAsiaTheme="majorEastAsia" w:hAnsi="Arial" w:cs="Arial"/>
          <w:bCs/>
        </w:rPr>
      </w:pPr>
      <w:r w:rsidRPr="002377A0">
        <w:rPr>
          <w:rFonts w:ascii="Arial" w:eastAsiaTheme="majorEastAsia" w:hAnsi="Arial" w:cs="Arial"/>
          <w:bCs/>
        </w:rPr>
        <w:t>There is no minimum distance from any point source emission to a sensitive human receptor.</w:t>
      </w:r>
    </w:p>
    <w:p w14:paraId="013D783A" w14:textId="57116D80" w:rsidR="00B90488" w:rsidRPr="007656A2" w:rsidRDefault="00B90488" w:rsidP="00B90488">
      <w:pPr>
        <w:pStyle w:val="ListParagraph"/>
        <w:numPr>
          <w:ilvl w:val="3"/>
          <w:numId w:val="14"/>
        </w:numPr>
        <w:rPr>
          <w:rFonts w:ascii="Arial" w:eastAsiaTheme="majorEastAsia" w:hAnsi="Arial" w:cs="Arial"/>
          <w:bCs/>
        </w:rPr>
      </w:pPr>
      <w:r w:rsidRPr="007656A2">
        <w:rPr>
          <w:rFonts w:ascii="Arial" w:eastAsiaTheme="majorEastAsia" w:hAnsi="Arial" w:cs="Arial"/>
          <w:bCs/>
        </w:rPr>
        <w:t xml:space="preserve">Minimum distance from </w:t>
      </w:r>
      <w:r w:rsidR="002377A0">
        <w:rPr>
          <w:rFonts w:ascii="Arial" w:eastAsiaTheme="majorEastAsia" w:hAnsi="Arial" w:cs="Arial"/>
          <w:bCs/>
        </w:rPr>
        <w:t>any</w:t>
      </w:r>
      <w:r w:rsidR="002377A0" w:rsidRPr="002377A0">
        <w:rPr>
          <w:rFonts w:ascii="Arial" w:eastAsiaTheme="majorEastAsia" w:hAnsi="Arial" w:cs="Arial"/>
          <w:bCs/>
        </w:rPr>
        <w:t xml:space="preserve"> point source emission to a SAC, SPA, Ramsar or SSSI is 500m.</w:t>
      </w:r>
    </w:p>
    <w:p w14:paraId="3136F1C0" w14:textId="77777777" w:rsidR="003E6D7A" w:rsidRDefault="00B90488" w:rsidP="00B90488">
      <w:pPr>
        <w:pStyle w:val="ListParagraph"/>
        <w:numPr>
          <w:ilvl w:val="3"/>
          <w:numId w:val="14"/>
        </w:numPr>
        <w:rPr>
          <w:rFonts w:ascii="Arial" w:eastAsiaTheme="majorEastAsia" w:hAnsi="Arial" w:cs="Arial"/>
          <w:bCs/>
        </w:rPr>
      </w:pPr>
      <w:r w:rsidRPr="007656A2">
        <w:rPr>
          <w:rFonts w:ascii="Arial" w:eastAsiaTheme="majorEastAsia" w:hAnsi="Arial" w:cs="Arial"/>
          <w:bCs/>
        </w:rPr>
        <w:t xml:space="preserve">Annual </w:t>
      </w:r>
      <w:r w:rsidR="00013CA0" w:rsidRPr="00013CA0">
        <w:rPr>
          <w:rFonts w:ascii="Arial" w:eastAsiaTheme="majorEastAsia" w:hAnsi="Arial" w:cs="Arial"/>
          <w:bCs/>
        </w:rPr>
        <w:t>background NO</w:t>
      </w:r>
      <w:r w:rsidR="00013CA0" w:rsidRPr="00960264">
        <w:rPr>
          <w:rFonts w:ascii="Arial" w:eastAsiaTheme="majorEastAsia" w:hAnsi="Arial" w:cs="Arial"/>
          <w:bCs/>
          <w:vertAlign w:val="subscript"/>
        </w:rPr>
        <w:t>2</w:t>
      </w:r>
      <w:r w:rsidR="00013CA0" w:rsidRPr="00013CA0">
        <w:rPr>
          <w:rFonts w:ascii="Arial" w:eastAsiaTheme="majorEastAsia" w:hAnsi="Arial" w:cs="Arial"/>
          <w:bCs/>
        </w:rPr>
        <w:t xml:space="preserve"> concentration must </w:t>
      </w:r>
      <w:r w:rsidR="003E6D7A">
        <w:rPr>
          <w:rFonts w:ascii="Arial" w:eastAsiaTheme="majorEastAsia" w:hAnsi="Arial" w:cs="Arial"/>
          <w:bCs/>
        </w:rPr>
        <w:t xml:space="preserve">not </w:t>
      </w:r>
      <w:r w:rsidR="00013CA0" w:rsidRPr="00013CA0">
        <w:rPr>
          <w:rFonts w:ascii="Arial" w:eastAsiaTheme="majorEastAsia" w:hAnsi="Arial" w:cs="Arial"/>
          <w:bCs/>
        </w:rPr>
        <w:t>be greater than 36µg/m</w:t>
      </w:r>
      <w:r w:rsidR="00013CA0" w:rsidRPr="00960264">
        <w:rPr>
          <w:rFonts w:ascii="Arial" w:eastAsiaTheme="majorEastAsia" w:hAnsi="Arial" w:cs="Arial"/>
          <w:bCs/>
          <w:vertAlign w:val="superscript"/>
        </w:rPr>
        <w:t>3</w:t>
      </w:r>
      <w:r w:rsidR="00013CA0" w:rsidRPr="00013CA0">
        <w:rPr>
          <w:rFonts w:ascii="Arial" w:eastAsiaTheme="majorEastAsia" w:hAnsi="Arial" w:cs="Arial"/>
          <w:bCs/>
        </w:rPr>
        <w:t xml:space="preserve"> </w:t>
      </w:r>
    </w:p>
    <w:p w14:paraId="66474527" w14:textId="41977172" w:rsidR="00B90488" w:rsidRPr="007656A2" w:rsidRDefault="003E6D7A" w:rsidP="00B90488">
      <w:pPr>
        <w:pStyle w:val="ListParagraph"/>
        <w:numPr>
          <w:ilvl w:val="3"/>
          <w:numId w:val="14"/>
        </w:numPr>
        <w:rPr>
          <w:rFonts w:ascii="Arial" w:eastAsiaTheme="majorEastAsia" w:hAnsi="Arial" w:cs="Arial"/>
          <w:bCs/>
        </w:rPr>
      </w:pPr>
      <w:r>
        <w:rPr>
          <w:rFonts w:ascii="Arial" w:eastAsiaTheme="majorEastAsia" w:hAnsi="Arial" w:cs="Arial"/>
          <w:bCs/>
        </w:rPr>
        <w:t xml:space="preserve">The Specified Generator, which can also include new Medium Combustion Plant shall not be located </w:t>
      </w:r>
      <w:r w:rsidR="00013CA0" w:rsidRPr="00013CA0">
        <w:rPr>
          <w:rFonts w:ascii="Arial" w:eastAsiaTheme="majorEastAsia" w:hAnsi="Arial" w:cs="Arial"/>
          <w:bCs/>
        </w:rPr>
        <w:t>in an AQMA declared for NO</w:t>
      </w:r>
      <w:r w:rsidR="00013CA0" w:rsidRPr="00960264">
        <w:rPr>
          <w:rFonts w:ascii="Arial" w:eastAsiaTheme="majorEastAsia" w:hAnsi="Arial" w:cs="Arial"/>
          <w:bCs/>
          <w:vertAlign w:val="subscript"/>
        </w:rPr>
        <w:t>2</w:t>
      </w:r>
      <w:r w:rsidR="00013CA0" w:rsidRPr="00013CA0">
        <w:rPr>
          <w:rFonts w:ascii="Arial" w:eastAsiaTheme="majorEastAsia" w:hAnsi="Arial" w:cs="Arial"/>
          <w:bCs/>
        </w:rPr>
        <w:t>.</w:t>
      </w:r>
    </w:p>
    <w:p w14:paraId="247E3382" w14:textId="28657D34" w:rsidR="00564F85" w:rsidRPr="00AB30F0" w:rsidRDefault="00564F85" w:rsidP="00564F85">
      <w:pPr>
        <w:pStyle w:val="Bullet0"/>
        <w:keepNext/>
        <w:rPr>
          <w:rFonts w:ascii="Arial" w:hAnsi="Arial" w:cs="Arial"/>
        </w:rPr>
      </w:pPr>
      <w:r w:rsidRPr="00AB30F0">
        <w:rPr>
          <w:rFonts w:ascii="Arial" w:hAnsi="Arial" w:cs="Arial"/>
        </w:rPr>
        <w:t>The site</w:t>
      </w:r>
    </w:p>
    <w:p w14:paraId="188AB94D" w14:textId="445AAA7F" w:rsidR="00564F85" w:rsidRDefault="00564F85" w:rsidP="00564F85">
      <w:pPr>
        <w:pStyle w:val="Bullet1"/>
        <w:rPr>
          <w:rFonts w:ascii="Arial" w:hAnsi="Arial" w:cs="Arial"/>
        </w:rPr>
      </w:pPr>
      <w:r w:rsidRPr="00D9349E">
        <w:rPr>
          <w:rFonts w:ascii="Arial" w:hAnsi="Arial" w:cs="Arial"/>
        </w:rPr>
        <w:t>The</w:t>
      </w:r>
      <w:r w:rsidR="0094188F">
        <w:rPr>
          <w:rFonts w:ascii="Arial" w:hAnsi="Arial" w:cs="Arial"/>
        </w:rPr>
        <w:t xml:space="preserve"> Specified Generator</w:t>
      </w:r>
      <w:r w:rsidRPr="00D9349E">
        <w:rPr>
          <w:rFonts w:ascii="Arial" w:hAnsi="Arial" w:cs="Arial"/>
        </w:rPr>
        <w:t xml:space="preserve"> activities shall only be carried out at the address in this permit where the plant is located.</w:t>
      </w:r>
    </w:p>
    <w:p w14:paraId="780AF9F9" w14:textId="107CE508" w:rsidR="0094188F" w:rsidRDefault="0094188F" w:rsidP="0094188F">
      <w:pPr>
        <w:pStyle w:val="Bullet1"/>
        <w:rPr>
          <w:rFonts w:ascii="Arial" w:hAnsi="Arial" w:cs="Arial"/>
        </w:rPr>
      </w:pPr>
      <w:r w:rsidRPr="001A2DBF">
        <w:rPr>
          <w:rFonts w:ascii="Arial" w:hAnsi="Arial" w:cs="Arial"/>
        </w:rPr>
        <w:t>Where MCP’s are operated as part of the Specified Generator, only those MCP’s listed in the permit can be operated at the site. No MCP shall be operated beyond the site of the grid reference specified for it in the permit.</w:t>
      </w:r>
    </w:p>
    <w:p w14:paraId="226B15A9" w14:textId="77777777" w:rsidR="00485A54" w:rsidRPr="0094188F" w:rsidRDefault="00485A54" w:rsidP="00485A54">
      <w:pPr>
        <w:pStyle w:val="Bullet1"/>
        <w:numPr>
          <w:ilvl w:val="0"/>
          <w:numId w:val="0"/>
        </w:numPr>
        <w:ind w:left="680"/>
        <w:rPr>
          <w:rFonts w:ascii="Arial" w:hAnsi="Arial" w:cs="Arial"/>
        </w:rPr>
      </w:pPr>
    </w:p>
    <w:p w14:paraId="1CF385DB" w14:textId="77777777" w:rsidR="00564F85" w:rsidRPr="00AB30F0" w:rsidRDefault="00564F85" w:rsidP="00564F85">
      <w:pPr>
        <w:pStyle w:val="Bullet0"/>
        <w:keepNext/>
        <w:rPr>
          <w:rFonts w:ascii="Arial" w:hAnsi="Arial" w:cs="Arial"/>
        </w:rPr>
      </w:pPr>
      <w:r w:rsidRPr="00AB30F0">
        <w:rPr>
          <w:rFonts w:ascii="Arial" w:hAnsi="Arial" w:cs="Arial"/>
        </w:rPr>
        <w:lastRenderedPageBreak/>
        <w:t>Operating techniques</w:t>
      </w:r>
    </w:p>
    <w:p w14:paraId="62F187E3" w14:textId="77777777" w:rsidR="002377A0" w:rsidRDefault="00564F85" w:rsidP="002377A0">
      <w:pPr>
        <w:pStyle w:val="Bullet1"/>
        <w:keepNext/>
        <w:rPr>
          <w:rFonts w:ascii="Arial" w:hAnsi="Arial" w:cs="Arial"/>
        </w:rPr>
      </w:pPr>
      <w:r w:rsidRPr="00AB30F0">
        <w:rPr>
          <w:rFonts w:ascii="Arial" w:hAnsi="Arial" w:cs="Arial"/>
        </w:rPr>
        <w:t xml:space="preserve">The </w:t>
      </w:r>
      <w:bookmarkStart w:id="5" w:name="_Hlk54886768"/>
      <w:r w:rsidRPr="00AB30F0">
        <w:rPr>
          <w:rFonts w:ascii="Arial" w:hAnsi="Arial" w:cs="Arial"/>
        </w:rPr>
        <w:t xml:space="preserve">activities shall be operated </w:t>
      </w:r>
      <w:r w:rsidR="002377A0" w:rsidRPr="007D1A75">
        <w:rPr>
          <w:rFonts w:ascii="Arial" w:hAnsi="Arial" w:cs="Arial"/>
        </w:rPr>
        <w:t>using the techniques and, in the manner, described below.</w:t>
      </w:r>
    </w:p>
    <w:p w14:paraId="66F708D9" w14:textId="69E7FE0D" w:rsidR="002377A0" w:rsidRPr="00960264" w:rsidRDefault="002377A0" w:rsidP="002377A0">
      <w:pPr>
        <w:pStyle w:val="TableBulletL2"/>
        <w:numPr>
          <w:ilvl w:val="1"/>
          <w:numId w:val="16"/>
        </w:numPr>
        <w:rPr>
          <w:rStyle w:val="Pink"/>
          <w:rFonts w:ascii="Arial" w:hAnsi="Arial" w:cs="Arial"/>
          <w:color w:val="auto"/>
        </w:rPr>
      </w:pPr>
      <w:r w:rsidRPr="00960264">
        <w:rPr>
          <w:rStyle w:val="Pink"/>
          <w:rFonts w:ascii="Arial" w:hAnsi="Arial" w:cs="Arial"/>
          <w:color w:val="auto"/>
        </w:rPr>
        <w:t>The combustion plant must be operated in accordance with the manufacturers instruction’s and records must be made and retained to demonstrate this.</w:t>
      </w:r>
    </w:p>
    <w:p w14:paraId="2E1B5090" w14:textId="77777777" w:rsidR="002377A0" w:rsidRPr="00960264" w:rsidRDefault="002377A0" w:rsidP="002377A0">
      <w:pPr>
        <w:pStyle w:val="TableBulletL2"/>
        <w:numPr>
          <w:ilvl w:val="1"/>
          <w:numId w:val="16"/>
        </w:numPr>
        <w:rPr>
          <w:rStyle w:val="Pink"/>
          <w:rFonts w:ascii="Arial" w:hAnsi="Arial" w:cs="Arial"/>
          <w:color w:val="auto"/>
        </w:rPr>
      </w:pPr>
      <w:r w:rsidRPr="00960264">
        <w:rPr>
          <w:rStyle w:val="Pink"/>
          <w:rFonts w:ascii="Arial" w:hAnsi="Arial" w:cs="Arial"/>
          <w:color w:val="auto"/>
        </w:rPr>
        <w:t>The operator must keep periods of start-up and shut down of the combustion plant as short as possible.</w:t>
      </w:r>
    </w:p>
    <w:p w14:paraId="68EE7515" w14:textId="77777777" w:rsidR="002377A0" w:rsidRPr="002377A0" w:rsidRDefault="002377A0" w:rsidP="002377A0">
      <w:pPr>
        <w:pStyle w:val="TableBulletL2"/>
        <w:numPr>
          <w:ilvl w:val="1"/>
          <w:numId w:val="16"/>
        </w:numPr>
        <w:rPr>
          <w:rFonts w:ascii="Arial" w:hAnsi="Arial" w:cs="Arial"/>
        </w:rPr>
      </w:pPr>
      <w:r w:rsidRPr="0019680E">
        <w:rPr>
          <w:rFonts w:ascii="Arial" w:hAnsi="Arial" w:cs="Arial"/>
        </w:rPr>
        <w:t>There must be no persistent emission of ‘dark smoke’ as defined in section 3(1) of the Clean Air Act 1993</w:t>
      </w:r>
      <w:r w:rsidRPr="002377A0">
        <w:rPr>
          <w:rFonts w:ascii="Arial" w:hAnsi="Arial" w:cs="Arial"/>
        </w:rPr>
        <w:t>.</w:t>
      </w:r>
    </w:p>
    <w:p w14:paraId="1F0E9F7E" w14:textId="77777777" w:rsidR="002377A0" w:rsidRPr="002377A0" w:rsidRDefault="002377A0" w:rsidP="002377A0">
      <w:pPr>
        <w:pStyle w:val="TableBulletL2"/>
        <w:numPr>
          <w:ilvl w:val="1"/>
          <w:numId w:val="16"/>
        </w:numPr>
        <w:rPr>
          <w:rFonts w:ascii="Arial" w:hAnsi="Arial" w:cs="Arial"/>
        </w:rPr>
      </w:pPr>
      <w:r w:rsidRPr="002377A0">
        <w:rPr>
          <w:rFonts w:ascii="Arial" w:hAnsi="Arial" w:cs="Arial"/>
        </w:rPr>
        <w:t>The stack(s) must be vertical and unimpeded by cowls or caps</w:t>
      </w:r>
    </w:p>
    <w:p w14:paraId="7F43654E" w14:textId="05EEAB70" w:rsidR="00564F85" w:rsidRPr="0019680E" w:rsidRDefault="002377A0" w:rsidP="00960264">
      <w:pPr>
        <w:pStyle w:val="TableBulletL2"/>
        <w:numPr>
          <w:ilvl w:val="1"/>
          <w:numId w:val="16"/>
        </w:numPr>
        <w:rPr>
          <w:rStyle w:val="Red"/>
          <w:rFonts w:ascii="Arial" w:hAnsi="Arial" w:cs="Arial"/>
          <w:bCs/>
          <w:color w:val="auto"/>
        </w:rPr>
      </w:pPr>
      <w:r w:rsidRPr="002631EA">
        <w:rPr>
          <w:rFonts w:ascii="Arial" w:hAnsi="Arial" w:cs="Arial"/>
        </w:rPr>
        <w:t>Where secondary abatement is required to ensure compliance with the NOx ELV, it must be met within 10 minutes from when the combustion plant commences operation and within 20 minutes when the generator was a Tranche A and is now a Tranche B</w:t>
      </w:r>
      <w:r>
        <w:rPr>
          <w:rFonts w:ascii="Arial" w:hAnsi="Arial" w:cs="Arial"/>
        </w:rPr>
        <w:t>.</w:t>
      </w:r>
      <w:bookmarkEnd w:id="5"/>
    </w:p>
    <w:p w14:paraId="57926582" w14:textId="77777777" w:rsidR="00564F85" w:rsidRPr="00AB30F0" w:rsidRDefault="00564F85" w:rsidP="00564F85">
      <w:pPr>
        <w:pStyle w:val="Bullet"/>
        <w:rPr>
          <w:rFonts w:ascii="Arial" w:hAnsi="Arial" w:cs="Arial"/>
        </w:rPr>
      </w:pPr>
      <w:r w:rsidRPr="00AB30F0">
        <w:rPr>
          <w:rFonts w:ascii="Arial" w:hAnsi="Arial" w:cs="Arial"/>
        </w:rPr>
        <w:t>Emissions and monitoring</w:t>
      </w:r>
    </w:p>
    <w:p w14:paraId="764FF06D" w14:textId="48516ED0" w:rsidR="00564F85" w:rsidRDefault="00564F85" w:rsidP="00AB30F0">
      <w:pPr>
        <w:pStyle w:val="Bullet0"/>
        <w:rPr>
          <w:rFonts w:ascii="Arial" w:hAnsi="Arial" w:cs="Arial"/>
        </w:rPr>
      </w:pPr>
      <w:r w:rsidRPr="00AB30F0">
        <w:rPr>
          <w:rFonts w:ascii="Arial" w:hAnsi="Arial" w:cs="Arial"/>
        </w:rPr>
        <w:t xml:space="preserve">Emissions to air </w:t>
      </w:r>
    </w:p>
    <w:p w14:paraId="5DBF8122" w14:textId="3033A4E8" w:rsidR="00AB30F0" w:rsidRPr="00AB30F0" w:rsidRDefault="00AB30F0" w:rsidP="008C6303">
      <w:pPr>
        <w:pStyle w:val="Bullet0"/>
        <w:numPr>
          <w:ilvl w:val="0"/>
          <w:numId w:val="0"/>
        </w:numPr>
        <w:ind w:left="567" w:hanging="567"/>
        <w:rPr>
          <w:rStyle w:val="Red"/>
          <w:rFonts w:ascii="Arial" w:hAnsi="Arial" w:cs="Arial"/>
          <w:b w:val="0"/>
          <w:color w:val="auto"/>
          <w:sz w:val="20"/>
          <w:szCs w:val="20"/>
        </w:rPr>
      </w:pPr>
      <w:r w:rsidRPr="00AB30F0">
        <w:rPr>
          <w:rStyle w:val="Red"/>
          <w:rFonts w:ascii="Arial" w:hAnsi="Arial" w:cs="Arial"/>
          <w:b w:val="0"/>
          <w:color w:val="auto"/>
          <w:sz w:val="20"/>
          <w:szCs w:val="20"/>
        </w:rPr>
        <w:t xml:space="preserve">3.1.1 </w:t>
      </w:r>
      <w:r w:rsidR="008C6303">
        <w:rPr>
          <w:rStyle w:val="Red"/>
          <w:rFonts w:ascii="Arial" w:hAnsi="Arial" w:cs="Arial"/>
          <w:b w:val="0"/>
          <w:color w:val="auto"/>
          <w:sz w:val="20"/>
          <w:szCs w:val="20"/>
        </w:rPr>
        <w:t xml:space="preserve"> </w:t>
      </w:r>
      <w:r w:rsidRPr="00AB30F0">
        <w:rPr>
          <w:rStyle w:val="Red"/>
          <w:rFonts w:ascii="Arial" w:hAnsi="Arial" w:cs="Arial"/>
          <w:b w:val="0"/>
          <w:color w:val="auto"/>
          <w:sz w:val="20"/>
          <w:szCs w:val="20"/>
        </w:rPr>
        <w:t>There shall be no point source emissions to air except from the sources and emission points listed in table</w:t>
      </w:r>
      <w:r w:rsidR="00AC3DF4">
        <w:rPr>
          <w:rStyle w:val="Red"/>
          <w:rFonts w:ascii="Arial" w:hAnsi="Arial" w:cs="Arial"/>
          <w:b w:val="0"/>
          <w:color w:val="auto"/>
          <w:sz w:val="20"/>
          <w:szCs w:val="20"/>
        </w:rPr>
        <w:t xml:space="preserve">s </w:t>
      </w:r>
      <w:r w:rsidRPr="00AB30F0">
        <w:rPr>
          <w:rStyle w:val="Red"/>
          <w:rFonts w:ascii="Arial" w:hAnsi="Arial" w:cs="Arial"/>
          <w:b w:val="0"/>
          <w:color w:val="auto"/>
          <w:sz w:val="20"/>
          <w:szCs w:val="20"/>
        </w:rPr>
        <w:t>3.1</w:t>
      </w:r>
      <w:r w:rsidR="00AC3DF4">
        <w:rPr>
          <w:rStyle w:val="Red"/>
          <w:rFonts w:ascii="Arial" w:hAnsi="Arial" w:cs="Arial"/>
          <w:b w:val="0"/>
          <w:color w:val="auto"/>
          <w:sz w:val="20"/>
          <w:szCs w:val="20"/>
        </w:rPr>
        <w:t>, 3.2a</w:t>
      </w:r>
      <w:r w:rsidR="007267B2">
        <w:rPr>
          <w:rStyle w:val="Red"/>
          <w:rFonts w:ascii="Arial" w:hAnsi="Arial" w:cs="Arial"/>
          <w:b w:val="0"/>
          <w:color w:val="auto"/>
          <w:sz w:val="20"/>
          <w:szCs w:val="20"/>
        </w:rPr>
        <w:t xml:space="preserve"> and 3.2</w:t>
      </w:r>
      <w:r w:rsidR="00AC3DF4">
        <w:rPr>
          <w:rStyle w:val="Red"/>
          <w:rFonts w:ascii="Arial" w:hAnsi="Arial" w:cs="Arial"/>
          <w:b w:val="0"/>
          <w:color w:val="auto"/>
          <w:sz w:val="20"/>
          <w:szCs w:val="20"/>
        </w:rPr>
        <w:t>b</w:t>
      </w:r>
      <w:r w:rsidRPr="00AB30F0">
        <w:rPr>
          <w:rStyle w:val="Red"/>
          <w:rFonts w:ascii="Arial" w:hAnsi="Arial" w:cs="Arial"/>
          <w:b w:val="0"/>
          <w:color w:val="auto"/>
          <w:sz w:val="20"/>
          <w:szCs w:val="20"/>
        </w:rPr>
        <w:t xml:space="preserve">. </w:t>
      </w:r>
    </w:p>
    <w:p w14:paraId="1A34A24E" w14:textId="2899B002" w:rsidR="004274B4" w:rsidRDefault="00AB30F0" w:rsidP="00AB30F0">
      <w:pPr>
        <w:pStyle w:val="Bullet0"/>
        <w:numPr>
          <w:ilvl w:val="0"/>
          <w:numId w:val="0"/>
        </w:numPr>
        <w:rPr>
          <w:rStyle w:val="Red"/>
          <w:rFonts w:ascii="Arial" w:hAnsi="Arial" w:cs="Arial"/>
          <w:b w:val="0"/>
          <w:color w:val="auto"/>
          <w:sz w:val="20"/>
          <w:szCs w:val="20"/>
        </w:rPr>
      </w:pPr>
      <w:r w:rsidRPr="00AB30F0">
        <w:rPr>
          <w:rStyle w:val="Red"/>
          <w:rFonts w:ascii="Arial" w:hAnsi="Arial" w:cs="Arial"/>
          <w:b w:val="0"/>
          <w:color w:val="auto"/>
          <w:sz w:val="20"/>
          <w:szCs w:val="20"/>
        </w:rPr>
        <w:t>3.1.2 The limits given in table</w:t>
      </w:r>
      <w:r w:rsidR="00AC3DF4">
        <w:rPr>
          <w:rStyle w:val="Red"/>
          <w:rFonts w:ascii="Arial" w:hAnsi="Arial" w:cs="Arial"/>
          <w:b w:val="0"/>
          <w:color w:val="auto"/>
          <w:sz w:val="20"/>
          <w:szCs w:val="20"/>
        </w:rPr>
        <w:t>s</w:t>
      </w:r>
      <w:r w:rsidRPr="00AB30F0">
        <w:rPr>
          <w:rStyle w:val="Red"/>
          <w:rFonts w:ascii="Arial" w:hAnsi="Arial" w:cs="Arial"/>
          <w:b w:val="0"/>
          <w:color w:val="auto"/>
          <w:sz w:val="20"/>
          <w:szCs w:val="20"/>
        </w:rPr>
        <w:t xml:space="preserve"> 3.1</w:t>
      </w:r>
      <w:r w:rsidR="00AC3DF4">
        <w:rPr>
          <w:rStyle w:val="Red"/>
          <w:rFonts w:ascii="Arial" w:hAnsi="Arial" w:cs="Arial"/>
          <w:b w:val="0"/>
          <w:color w:val="auto"/>
          <w:sz w:val="20"/>
          <w:szCs w:val="20"/>
        </w:rPr>
        <w:t>, 3.2a</w:t>
      </w:r>
      <w:r w:rsidRPr="00AB30F0">
        <w:rPr>
          <w:rStyle w:val="Red"/>
          <w:rFonts w:ascii="Arial" w:hAnsi="Arial" w:cs="Arial"/>
          <w:b w:val="0"/>
          <w:color w:val="auto"/>
          <w:sz w:val="20"/>
          <w:szCs w:val="20"/>
        </w:rPr>
        <w:t xml:space="preserve"> </w:t>
      </w:r>
      <w:r w:rsidR="007267B2">
        <w:rPr>
          <w:rStyle w:val="Red"/>
          <w:rFonts w:ascii="Arial" w:hAnsi="Arial" w:cs="Arial"/>
          <w:b w:val="0"/>
          <w:color w:val="auto"/>
          <w:sz w:val="20"/>
          <w:szCs w:val="20"/>
        </w:rPr>
        <w:t>and 3.2</w:t>
      </w:r>
      <w:r w:rsidR="00AC3DF4">
        <w:rPr>
          <w:rStyle w:val="Red"/>
          <w:rFonts w:ascii="Arial" w:hAnsi="Arial" w:cs="Arial"/>
          <w:b w:val="0"/>
          <w:color w:val="auto"/>
          <w:sz w:val="20"/>
          <w:szCs w:val="20"/>
        </w:rPr>
        <w:t>b</w:t>
      </w:r>
      <w:r w:rsidR="007267B2">
        <w:rPr>
          <w:rStyle w:val="Red"/>
          <w:rFonts w:ascii="Arial" w:hAnsi="Arial" w:cs="Arial"/>
          <w:b w:val="0"/>
          <w:color w:val="auto"/>
          <w:sz w:val="20"/>
          <w:szCs w:val="20"/>
        </w:rPr>
        <w:t xml:space="preserve"> </w:t>
      </w:r>
      <w:r w:rsidRPr="00AB30F0">
        <w:rPr>
          <w:rStyle w:val="Red"/>
          <w:rFonts w:ascii="Arial" w:hAnsi="Arial" w:cs="Arial"/>
          <w:b w:val="0"/>
          <w:color w:val="auto"/>
          <w:sz w:val="20"/>
          <w:szCs w:val="20"/>
        </w:rPr>
        <w:t>shall not</w:t>
      </w:r>
      <w:r w:rsidR="00A25CD8" w:rsidRPr="00A25CD8">
        <w:t xml:space="preserve"> </w:t>
      </w:r>
      <w:r w:rsidRPr="00AB30F0">
        <w:rPr>
          <w:rStyle w:val="Red"/>
          <w:rFonts w:ascii="Arial" w:hAnsi="Arial" w:cs="Arial"/>
          <w:b w:val="0"/>
          <w:color w:val="auto"/>
          <w:sz w:val="20"/>
          <w:szCs w:val="20"/>
        </w:rPr>
        <w:t>be exceeded</w:t>
      </w:r>
      <w:r w:rsidR="00CD2694">
        <w:rPr>
          <w:rStyle w:val="Red"/>
          <w:rFonts w:ascii="Arial" w:hAnsi="Arial" w:cs="Arial"/>
          <w:b w:val="0"/>
          <w:color w:val="auto"/>
          <w:sz w:val="20"/>
          <w:szCs w:val="20"/>
        </w:rPr>
        <w:t>.</w:t>
      </w:r>
    </w:p>
    <w:p w14:paraId="2B01FD51" w14:textId="065FD5EF" w:rsidR="00A25CD8" w:rsidRPr="00B02BBE" w:rsidRDefault="00A25CD8" w:rsidP="00AB30F0">
      <w:pPr>
        <w:pStyle w:val="Bullet0"/>
        <w:numPr>
          <w:ilvl w:val="0"/>
          <w:numId w:val="0"/>
        </w:numPr>
        <w:rPr>
          <w:rStyle w:val="Red"/>
          <w:rFonts w:ascii="Arial" w:hAnsi="Arial" w:cs="Arial"/>
          <w:bCs w:val="0"/>
          <w:color w:val="auto"/>
          <w:sz w:val="20"/>
          <w:szCs w:val="20"/>
        </w:rPr>
      </w:pPr>
      <w:r w:rsidRPr="00B02BBE">
        <w:rPr>
          <w:rStyle w:val="Red"/>
          <w:rFonts w:ascii="Arial" w:hAnsi="Arial" w:cs="Arial"/>
          <w:bCs w:val="0"/>
          <w:color w:val="auto"/>
          <w:sz w:val="20"/>
          <w:szCs w:val="20"/>
        </w:rPr>
        <w:t>Table 3.1 Point source emissions to air – emission limits (applicable to each generator)</w:t>
      </w:r>
    </w:p>
    <w:tbl>
      <w:tblPr>
        <w:tblStyle w:val="TableGridLight"/>
        <w:tblW w:w="5031" w:type="pct"/>
        <w:tblLook w:val="04A0" w:firstRow="1" w:lastRow="0" w:firstColumn="1" w:lastColumn="0" w:noHBand="0" w:noVBand="1"/>
      </w:tblPr>
      <w:tblGrid>
        <w:gridCol w:w="3234"/>
        <w:gridCol w:w="3235"/>
        <w:gridCol w:w="3233"/>
      </w:tblGrid>
      <w:tr w:rsidR="00960BFC" w:rsidRPr="00B02BBE" w14:paraId="64F8C1C8" w14:textId="77777777" w:rsidTr="00AE7A4B">
        <w:trPr>
          <w:trHeight w:val="1501"/>
        </w:trPr>
        <w:tc>
          <w:tcPr>
            <w:tcW w:w="1667" w:type="pct"/>
            <w:vAlign w:val="center"/>
          </w:tcPr>
          <w:p w14:paraId="21B44EAD" w14:textId="77777777" w:rsidR="00960BFC" w:rsidRPr="00B02BBE" w:rsidRDefault="00960BFC" w:rsidP="00AE7A4B">
            <w:pPr>
              <w:jc w:val="center"/>
              <w:rPr>
                <w:rFonts w:cs="Arial"/>
                <w:b/>
                <w:bCs/>
                <w:sz w:val="20"/>
                <w:szCs w:val="20"/>
              </w:rPr>
            </w:pPr>
          </w:p>
          <w:p w14:paraId="47B5A7F9" w14:textId="606DC31E" w:rsidR="00960BFC" w:rsidRPr="00B02BBE" w:rsidRDefault="00960BFC" w:rsidP="00AE7A4B">
            <w:pPr>
              <w:jc w:val="center"/>
              <w:rPr>
                <w:rFonts w:cs="Arial"/>
                <w:b/>
                <w:bCs/>
                <w:sz w:val="20"/>
                <w:szCs w:val="20"/>
              </w:rPr>
            </w:pPr>
            <w:r w:rsidRPr="00B02BBE">
              <w:rPr>
                <w:rFonts w:cs="Arial"/>
                <w:b/>
                <w:bCs/>
                <w:sz w:val="20"/>
                <w:szCs w:val="20"/>
              </w:rPr>
              <w:t>Pollutant Combustion technology</w:t>
            </w:r>
          </w:p>
          <w:p w14:paraId="1B6FD24B" w14:textId="48593789" w:rsidR="00960BFC" w:rsidRPr="00B02BBE" w:rsidRDefault="00960BFC" w:rsidP="00AE7A4B">
            <w:pPr>
              <w:ind w:firstLine="720"/>
              <w:jc w:val="center"/>
              <w:rPr>
                <w:rFonts w:cs="Arial"/>
                <w:b/>
                <w:bCs/>
                <w:sz w:val="20"/>
                <w:szCs w:val="20"/>
              </w:rPr>
            </w:pPr>
          </w:p>
        </w:tc>
        <w:tc>
          <w:tcPr>
            <w:tcW w:w="1667" w:type="pct"/>
            <w:vAlign w:val="center"/>
          </w:tcPr>
          <w:p w14:paraId="2BE33A46" w14:textId="77D4D2D0" w:rsidR="00960BFC" w:rsidRPr="00B02BBE" w:rsidRDefault="00960BFC" w:rsidP="00AE7A4B">
            <w:pPr>
              <w:jc w:val="center"/>
              <w:rPr>
                <w:rFonts w:cs="Arial"/>
                <w:b/>
                <w:bCs/>
                <w:sz w:val="20"/>
                <w:szCs w:val="20"/>
              </w:rPr>
            </w:pPr>
            <w:r w:rsidRPr="00B02BBE">
              <w:rPr>
                <w:rFonts w:cs="Arial"/>
                <w:b/>
                <w:bCs/>
                <w:sz w:val="20"/>
                <w:szCs w:val="20"/>
              </w:rPr>
              <w:t>Combustion technology</w:t>
            </w:r>
          </w:p>
        </w:tc>
        <w:tc>
          <w:tcPr>
            <w:tcW w:w="1666" w:type="pct"/>
            <w:vAlign w:val="center"/>
          </w:tcPr>
          <w:p w14:paraId="473F5DA8" w14:textId="57D1D3BC" w:rsidR="00960BFC" w:rsidRPr="00B02BBE" w:rsidRDefault="00960BFC" w:rsidP="00AE7A4B">
            <w:pPr>
              <w:jc w:val="center"/>
              <w:rPr>
                <w:rFonts w:cs="Arial"/>
                <w:b/>
                <w:bCs/>
                <w:sz w:val="20"/>
                <w:szCs w:val="20"/>
              </w:rPr>
            </w:pPr>
            <w:r w:rsidRPr="00B02BBE">
              <w:rPr>
                <w:rFonts w:cs="Arial"/>
                <w:b/>
                <w:bCs/>
                <w:sz w:val="20"/>
                <w:szCs w:val="20"/>
              </w:rPr>
              <w:t>Emission limit (mg/Nmᶟ)</w:t>
            </w:r>
          </w:p>
        </w:tc>
      </w:tr>
      <w:tr w:rsidR="00A15CD1" w:rsidRPr="00B02BBE" w14:paraId="6717BC8D" w14:textId="77777777" w:rsidTr="00AE7A4B">
        <w:trPr>
          <w:trHeight w:val="1501"/>
        </w:trPr>
        <w:tc>
          <w:tcPr>
            <w:tcW w:w="1667" w:type="pct"/>
            <w:vAlign w:val="center"/>
          </w:tcPr>
          <w:p w14:paraId="52E2DAD9" w14:textId="77777777" w:rsidR="00A15CD1" w:rsidRPr="00B02BBE" w:rsidRDefault="00A15CD1" w:rsidP="00AE7A4B">
            <w:pPr>
              <w:jc w:val="center"/>
              <w:rPr>
                <w:rFonts w:cs="Arial"/>
                <w:bCs/>
                <w:sz w:val="20"/>
                <w:szCs w:val="20"/>
              </w:rPr>
            </w:pPr>
            <w:r w:rsidRPr="00B02BBE">
              <w:rPr>
                <w:rFonts w:cs="Arial"/>
                <w:bCs/>
                <w:sz w:val="20"/>
                <w:szCs w:val="20"/>
              </w:rPr>
              <w:t xml:space="preserve">Oxides of </w:t>
            </w:r>
            <w:proofErr w:type="gramStart"/>
            <w:r w:rsidRPr="00B02BBE">
              <w:rPr>
                <w:rFonts w:cs="Arial"/>
                <w:bCs/>
                <w:sz w:val="20"/>
                <w:szCs w:val="20"/>
              </w:rPr>
              <w:t>Nitrogen  (</w:t>
            </w:r>
            <w:proofErr w:type="gramEnd"/>
            <w:r w:rsidRPr="00B02BBE">
              <w:rPr>
                <w:rFonts w:cs="Arial"/>
                <w:bCs/>
                <w:sz w:val="20"/>
                <w:szCs w:val="20"/>
              </w:rPr>
              <w:t>NO and NO2 expressed as NO2)</w:t>
            </w:r>
          </w:p>
        </w:tc>
        <w:tc>
          <w:tcPr>
            <w:tcW w:w="1667" w:type="pct"/>
            <w:vAlign w:val="center"/>
          </w:tcPr>
          <w:p w14:paraId="63F29C5C" w14:textId="000037E8" w:rsidR="00A15CD1" w:rsidRPr="00B02BBE" w:rsidRDefault="00A15CD1" w:rsidP="00AE7A4B">
            <w:pPr>
              <w:jc w:val="center"/>
              <w:rPr>
                <w:rFonts w:cs="Arial"/>
                <w:bCs/>
                <w:sz w:val="20"/>
                <w:szCs w:val="20"/>
              </w:rPr>
            </w:pPr>
            <w:r w:rsidRPr="00B02BBE">
              <w:rPr>
                <w:rFonts w:cs="Arial"/>
                <w:bCs/>
                <w:sz w:val="20"/>
                <w:szCs w:val="20"/>
              </w:rPr>
              <w:t>Gas engine or gas turbine</w:t>
            </w:r>
          </w:p>
        </w:tc>
        <w:tc>
          <w:tcPr>
            <w:tcW w:w="1666" w:type="pct"/>
            <w:vAlign w:val="center"/>
          </w:tcPr>
          <w:p w14:paraId="1B354EAB" w14:textId="01EEBB7C" w:rsidR="00A15CD1" w:rsidRPr="00B02BBE" w:rsidRDefault="00A15CD1" w:rsidP="00AE7A4B">
            <w:pPr>
              <w:jc w:val="center"/>
              <w:rPr>
                <w:rFonts w:cs="Arial"/>
                <w:bCs/>
                <w:sz w:val="20"/>
                <w:szCs w:val="20"/>
              </w:rPr>
            </w:pPr>
            <w:r w:rsidRPr="00B02BBE">
              <w:rPr>
                <w:rFonts w:cs="Arial"/>
                <w:bCs/>
                <w:sz w:val="20"/>
                <w:szCs w:val="20"/>
              </w:rPr>
              <w:t>95</w:t>
            </w:r>
          </w:p>
        </w:tc>
      </w:tr>
      <w:tr w:rsidR="00A15CD1" w:rsidRPr="00B02BBE" w14:paraId="22EDCF44" w14:textId="77777777" w:rsidTr="00AE7A4B">
        <w:trPr>
          <w:trHeight w:val="531"/>
        </w:trPr>
        <w:tc>
          <w:tcPr>
            <w:tcW w:w="1667" w:type="pct"/>
            <w:vAlign w:val="center"/>
          </w:tcPr>
          <w:p w14:paraId="7B118A90" w14:textId="77777777" w:rsidR="00AE7A4B" w:rsidRPr="00B02BBE" w:rsidRDefault="00AE7A4B" w:rsidP="00AE7A4B">
            <w:pPr>
              <w:jc w:val="center"/>
              <w:rPr>
                <w:rFonts w:cs="Arial"/>
                <w:sz w:val="20"/>
                <w:szCs w:val="20"/>
              </w:rPr>
            </w:pPr>
          </w:p>
          <w:p w14:paraId="20898C23" w14:textId="77777777" w:rsidR="00A15CD1" w:rsidRPr="00B02BBE" w:rsidRDefault="00A15CD1" w:rsidP="00AE7A4B">
            <w:pPr>
              <w:jc w:val="center"/>
              <w:rPr>
                <w:rFonts w:cs="Arial"/>
                <w:sz w:val="20"/>
                <w:szCs w:val="20"/>
              </w:rPr>
            </w:pPr>
            <w:r w:rsidRPr="00B02BBE">
              <w:rPr>
                <w:rFonts w:cs="Arial"/>
                <w:sz w:val="20"/>
                <w:szCs w:val="20"/>
              </w:rPr>
              <w:t xml:space="preserve">Oxides of </w:t>
            </w:r>
            <w:proofErr w:type="gramStart"/>
            <w:r w:rsidRPr="00B02BBE">
              <w:rPr>
                <w:rFonts w:cs="Arial"/>
                <w:sz w:val="20"/>
                <w:szCs w:val="20"/>
              </w:rPr>
              <w:t>Nitrogen  (</w:t>
            </w:r>
            <w:proofErr w:type="gramEnd"/>
            <w:r w:rsidRPr="00B02BBE">
              <w:rPr>
                <w:rFonts w:cs="Arial"/>
                <w:sz w:val="20"/>
                <w:szCs w:val="20"/>
              </w:rPr>
              <w:t>NO and NO2 expressed as NO2)</w:t>
            </w:r>
          </w:p>
          <w:p w14:paraId="14A9638A" w14:textId="6AFDAAAD" w:rsidR="00AE7A4B" w:rsidRPr="00B02BBE" w:rsidRDefault="00AE7A4B" w:rsidP="00AE7A4B">
            <w:pPr>
              <w:jc w:val="center"/>
              <w:rPr>
                <w:rFonts w:cs="Arial"/>
                <w:sz w:val="20"/>
                <w:szCs w:val="20"/>
              </w:rPr>
            </w:pPr>
          </w:p>
        </w:tc>
        <w:tc>
          <w:tcPr>
            <w:tcW w:w="1667" w:type="pct"/>
            <w:vAlign w:val="center"/>
          </w:tcPr>
          <w:p w14:paraId="415C5157" w14:textId="77777777" w:rsidR="00A15CD1" w:rsidRPr="00B02BBE" w:rsidRDefault="00A15CD1" w:rsidP="00AE7A4B">
            <w:pPr>
              <w:jc w:val="center"/>
              <w:rPr>
                <w:rFonts w:cs="Arial"/>
                <w:sz w:val="20"/>
                <w:szCs w:val="20"/>
              </w:rPr>
            </w:pPr>
            <w:r w:rsidRPr="00B02BBE">
              <w:rPr>
                <w:rFonts w:cs="Arial"/>
                <w:sz w:val="20"/>
                <w:szCs w:val="20"/>
              </w:rPr>
              <w:t>CHP boiler</w:t>
            </w:r>
          </w:p>
        </w:tc>
        <w:tc>
          <w:tcPr>
            <w:tcW w:w="1666" w:type="pct"/>
            <w:vAlign w:val="center"/>
          </w:tcPr>
          <w:p w14:paraId="5ADE72FA" w14:textId="65826C46" w:rsidR="00A15CD1" w:rsidRPr="00B02BBE" w:rsidRDefault="00A15CD1" w:rsidP="00AE7A4B">
            <w:pPr>
              <w:jc w:val="center"/>
              <w:rPr>
                <w:rFonts w:cs="Arial"/>
                <w:sz w:val="20"/>
                <w:szCs w:val="20"/>
              </w:rPr>
            </w:pPr>
            <w:r w:rsidRPr="00B02BBE">
              <w:rPr>
                <w:rFonts w:cs="Arial"/>
                <w:sz w:val="20"/>
                <w:szCs w:val="20"/>
              </w:rPr>
              <w:t>100</w:t>
            </w:r>
          </w:p>
        </w:tc>
      </w:tr>
    </w:tbl>
    <w:p w14:paraId="18353381" w14:textId="025E3A8F" w:rsidR="00564F85" w:rsidRDefault="00A15CD1" w:rsidP="00564F85">
      <w:pPr>
        <w:pStyle w:val="Bullet1"/>
        <w:numPr>
          <w:ilvl w:val="0"/>
          <w:numId w:val="0"/>
        </w:numPr>
        <w:ind w:left="680" w:hanging="680"/>
        <w:rPr>
          <w:rStyle w:val="Red"/>
          <w:rFonts w:ascii="Arial" w:hAnsi="Arial" w:cs="Arial"/>
        </w:rPr>
      </w:pPr>
      <w:r>
        <w:rPr>
          <w:rStyle w:val="Red"/>
          <w:rFonts w:ascii="Arial" w:hAnsi="Arial" w:cs="Arial"/>
        </w:rPr>
        <w:tab/>
      </w:r>
      <w:r w:rsidRPr="00960264">
        <w:rPr>
          <w:rStyle w:val="Red"/>
          <w:rFonts w:ascii="Arial" w:hAnsi="Arial" w:cs="Arial"/>
          <w:color w:val="auto"/>
        </w:rPr>
        <w:t>Monitoring requirements are defined at a temperature of 273.15 K, a pressure of 101.3 kPa and after correction for the water vapour content of the waste gases at a standardised O</w:t>
      </w:r>
      <w:r w:rsidRPr="00960264">
        <w:rPr>
          <w:rStyle w:val="Red"/>
          <w:rFonts w:ascii="Arial" w:hAnsi="Arial" w:cs="Arial"/>
          <w:color w:val="auto"/>
          <w:vertAlign w:val="subscript"/>
        </w:rPr>
        <w:t>2</w:t>
      </w:r>
      <w:r w:rsidRPr="00960264">
        <w:rPr>
          <w:rStyle w:val="Red"/>
          <w:rFonts w:ascii="Arial" w:hAnsi="Arial" w:cs="Arial"/>
          <w:color w:val="auto"/>
        </w:rPr>
        <w:t xml:space="preserve"> content of 15% for engines and 3% for CHP Boilers</w:t>
      </w:r>
      <w:r>
        <w:rPr>
          <w:rStyle w:val="Red"/>
          <w:rFonts w:ascii="Arial" w:hAnsi="Arial" w:cs="Arial"/>
          <w:color w:val="auto"/>
        </w:rPr>
        <w:t>.</w:t>
      </w:r>
    </w:p>
    <w:p w14:paraId="7C4C12B8" w14:textId="0D77109D" w:rsidR="00A15CD1" w:rsidRDefault="00A15CD1" w:rsidP="00564F85">
      <w:pPr>
        <w:pStyle w:val="Bullet1"/>
        <w:numPr>
          <w:ilvl w:val="0"/>
          <w:numId w:val="0"/>
        </w:numPr>
        <w:ind w:left="680" w:hanging="680"/>
        <w:rPr>
          <w:rStyle w:val="Red"/>
        </w:rPr>
      </w:pPr>
    </w:p>
    <w:p w14:paraId="2BC4FC93" w14:textId="537BD5C2" w:rsidR="00A15CD1" w:rsidRPr="00AE7A4B" w:rsidRDefault="00A25CD8" w:rsidP="00A25CD8">
      <w:pPr>
        <w:pStyle w:val="Bullet1"/>
        <w:numPr>
          <w:ilvl w:val="0"/>
          <w:numId w:val="0"/>
        </w:numPr>
        <w:rPr>
          <w:rFonts w:ascii="Arial" w:hAnsi="Arial" w:cs="Arial"/>
          <w:b/>
          <w:bCs w:val="0"/>
          <w:sz w:val="24"/>
        </w:rPr>
      </w:pPr>
      <w:r w:rsidRPr="00AE7A4B">
        <w:rPr>
          <w:rFonts w:ascii="Arial" w:hAnsi="Arial" w:cs="Arial"/>
          <w:b/>
          <w:bCs w:val="0"/>
          <w:sz w:val="24"/>
        </w:rPr>
        <w:t>Table 3.2a Point source emissions to air – emission limits (applicable to each generator that is also a new medium combustion plant)</w:t>
      </w:r>
    </w:p>
    <w:tbl>
      <w:tblPr>
        <w:tblStyle w:val="TableGrid"/>
        <w:tblpPr w:leftFromText="180" w:rightFromText="180" w:vertAnchor="page" w:horzAnchor="margin" w:tblpY="2421"/>
        <w:tblW w:w="5138" w:type="pct"/>
        <w:tblLook w:val="04A0" w:firstRow="1" w:lastRow="0" w:firstColumn="1" w:lastColumn="0" w:noHBand="0" w:noVBand="1"/>
      </w:tblPr>
      <w:tblGrid>
        <w:gridCol w:w="3304"/>
        <w:gridCol w:w="3303"/>
        <w:gridCol w:w="3301"/>
      </w:tblGrid>
      <w:tr w:rsidR="001F2E83" w:rsidRPr="00C24F9C" w14:paraId="17C8A71C" w14:textId="77777777" w:rsidTr="00EB3A86">
        <w:trPr>
          <w:cnfStyle w:val="100000000000" w:firstRow="1" w:lastRow="0" w:firstColumn="0" w:lastColumn="0" w:oddVBand="0" w:evenVBand="0" w:oddHBand="0" w:evenHBand="0" w:firstRowFirstColumn="0" w:firstRowLastColumn="0" w:lastRowFirstColumn="0" w:lastRowLastColumn="0"/>
          <w:trHeight w:val="1147"/>
        </w:trPr>
        <w:tc>
          <w:tcPr>
            <w:tcW w:w="1667" w:type="pct"/>
            <w:vAlign w:val="center"/>
          </w:tcPr>
          <w:p w14:paraId="1B3898E1" w14:textId="77777777" w:rsidR="001F2E83" w:rsidRPr="00B02BBE" w:rsidRDefault="001F2E83" w:rsidP="00EB3A86">
            <w:pPr>
              <w:jc w:val="center"/>
              <w:rPr>
                <w:rFonts w:ascii="Arial" w:hAnsi="Arial" w:cs="Arial"/>
                <w:sz w:val="20"/>
                <w:szCs w:val="20"/>
              </w:rPr>
            </w:pPr>
            <w:r w:rsidRPr="00B02BBE">
              <w:rPr>
                <w:rFonts w:ascii="Arial" w:hAnsi="Arial" w:cs="Arial"/>
                <w:sz w:val="20"/>
                <w:szCs w:val="20"/>
              </w:rPr>
              <w:lastRenderedPageBreak/>
              <w:t>Pollutant</w:t>
            </w:r>
          </w:p>
        </w:tc>
        <w:tc>
          <w:tcPr>
            <w:tcW w:w="1667" w:type="pct"/>
            <w:vAlign w:val="center"/>
          </w:tcPr>
          <w:p w14:paraId="654DB160" w14:textId="77777777" w:rsidR="001F2E83" w:rsidRPr="00B02BBE" w:rsidRDefault="001F2E83" w:rsidP="00EB3A86">
            <w:pPr>
              <w:jc w:val="center"/>
              <w:rPr>
                <w:rFonts w:ascii="Arial" w:hAnsi="Arial" w:cs="Arial"/>
                <w:sz w:val="20"/>
                <w:szCs w:val="20"/>
              </w:rPr>
            </w:pPr>
            <w:r w:rsidRPr="00B02BBE">
              <w:rPr>
                <w:rFonts w:ascii="Arial" w:hAnsi="Arial" w:cs="Arial"/>
                <w:sz w:val="20"/>
                <w:szCs w:val="20"/>
              </w:rPr>
              <w:t>Combustion</w:t>
            </w:r>
          </w:p>
          <w:p w14:paraId="709A8E35" w14:textId="77777777" w:rsidR="001F2E83" w:rsidRPr="00B02BBE" w:rsidRDefault="001F2E83" w:rsidP="00EB3A86">
            <w:pPr>
              <w:jc w:val="center"/>
              <w:rPr>
                <w:rFonts w:ascii="Arial" w:hAnsi="Arial" w:cs="Arial"/>
                <w:sz w:val="20"/>
                <w:szCs w:val="20"/>
              </w:rPr>
            </w:pPr>
            <w:r w:rsidRPr="00B02BBE">
              <w:rPr>
                <w:rFonts w:ascii="Arial" w:hAnsi="Arial" w:cs="Arial"/>
                <w:sz w:val="20"/>
                <w:szCs w:val="20"/>
              </w:rPr>
              <w:t>technology</w:t>
            </w:r>
          </w:p>
        </w:tc>
        <w:tc>
          <w:tcPr>
            <w:tcW w:w="1666" w:type="pct"/>
            <w:vAlign w:val="center"/>
          </w:tcPr>
          <w:p w14:paraId="60898BE5" w14:textId="3267E593" w:rsidR="001F2E83" w:rsidRPr="00B02BBE" w:rsidRDefault="001F2E83" w:rsidP="00B02BBE">
            <w:pPr>
              <w:ind w:left="0"/>
              <w:jc w:val="center"/>
              <w:rPr>
                <w:rFonts w:ascii="Arial" w:hAnsi="Arial" w:cs="Arial"/>
                <w:sz w:val="20"/>
                <w:szCs w:val="20"/>
              </w:rPr>
            </w:pPr>
            <w:r w:rsidRPr="00B02BBE">
              <w:rPr>
                <w:rFonts w:ascii="Arial" w:hAnsi="Arial" w:cs="Arial"/>
                <w:sz w:val="20"/>
                <w:szCs w:val="20"/>
              </w:rPr>
              <w:t>Emission limit (mg/Nmᶟ)</w:t>
            </w:r>
          </w:p>
        </w:tc>
      </w:tr>
      <w:tr w:rsidR="001F2E83" w:rsidRPr="00A25CD8" w14:paraId="167B4010" w14:textId="77777777" w:rsidTr="00B02BBE">
        <w:trPr>
          <w:trHeight w:val="1255"/>
        </w:trPr>
        <w:tc>
          <w:tcPr>
            <w:tcW w:w="1667" w:type="pct"/>
            <w:vAlign w:val="center"/>
          </w:tcPr>
          <w:p w14:paraId="07BFABA0" w14:textId="77777777" w:rsidR="001F2E83" w:rsidRPr="00B02BBE" w:rsidRDefault="001F2E83" w:rsidP="00B02BBE">
            <w:pPr>
              <w:jc w:val="center"/>
              <w:rPr>
                <w:rFonts w:ascii="Arial" w:hAnsi="Arial" w:cs="Arial"/>
                <w:sz w:val="20"/>
                <w:szCs w:val="20"/>
              </w:rPr>
            </w:pPr>
            <w:r w:rsidRPr="00B02BBE">
              <w:rPr>
                <w:rFonts w:ascii="Arial" w:hAnsi="Arial" w:cs="Arial"/>
                <w:sz w:val="20"/>
                <w:szCs w:val="20"/>
              </w:rPr>
              <w:t xml:space="preserve">Oxides of </w:t>
            </w:r>
            <w:proofErr w:type="gramStart"/>
            <w:r w:rsidRPr="00B02BBE">
              <w:rPr>
                <w:rFonts w:ascii="Arial" w:hAnsi="Arial" w:cs="Arial"/>
                <w:sz w:val="20"/>
                <w:szCs w:val="20"/>
              </w:rPr>
              <w:t>Nitrogen  (</w:t>
            </w:r>
            <w:proofErr w:type="gramEnd"/>
            <w:r w:rsidRPr="00B02BBE">
              <w:rPr>
                <w:rFonts w:ascii="Arial" w:hAnsi="Arial" w:cs="Arial"/>
                <w:sz w:val="20"/>
                <w:szCs w:val="20"/>
              </w:rPr>
              <w:t>NO and NO2 expressed as NO2)</w:t>
            </w:r>
          </w:p>
        </w:tc>
        <w:tc>
          <w:tcPr>
            <w:tcW w:w="1667" w:type="pct"/>
            <w:vAlign w:val="center"/>
          </w:tcPr>
          <w:p w14:paraId="5F27D36B" w14:textId="77777777" w:rsidR="001F2E83" w:rsidRPr="00B02BBE" w:rsidRDefault="001F2E83" w:rsidP="00B02BBE">
            <w:pPr>
              <w:jc w:val="center"/>
              <w:rPr>
                <w:rFonts w:ascii="Arial" w:hAnsi="Arial" w:cs="Arial"/>
                <w:sz w:val="20"/>
                <w:szCs w:val="20"/>
              </w:rPr>
            </w:pPr>
            <w:r w:rsidRPr="00B02BBE">
              <w:rPr>
                <w:rFonts w:ascii="Arial" w:hAnsi="Arial" w:cs="Arial"/>
                <w:sz w:val="20"/>
                <w:szCs w:val="20"/>
              </w:rPr>
              <w:t>Gas engine or gas turbine</w:t>
            </w:r>
          </w:p>
        </w:tc>
        <w:tc>
          <w:tcPr>
            <w:tcW w:w="1666" w:type="pct"/>
            <w:vAlign w:val="center"/>
          </w:tcPr>
          <w:p w14:paraId="7E90DD00" w14:textId="44E01C4F" w:rsidR="001F2E83" w:rsidRPr="00B02BBE" w:rsidRDefault="001F2E83" w:rsidP="00B02BBE">
            <w:pPr>
              <w:jc w:val="center"/>
              <w:rPr>
                <w:rFonts w:ascii="Arial" w:hAnsi="Arial" w:cs="Arial"/>
                <w:sz w:val="20"/>
                <w:szCs w:val="20"/>
              </w:rPr>
            </w:pPr>
            <w:r w:rsidRPr="00B02BBE">
              <w:rPr>
                <w:rFonts w:ascii="Arial" w:hAnsi="Arial" w:cs="Arial"/>
                <w:sz w:val="20"/>
                <w:szCs w:val="20"/>
              </w:rPr>
              <w:t>95</w:t>
            </w:r>
          </w:p>
        </w:tc>
      </w:tr>
      <w:tr w:rsidR="001F2E83" w:rsidRPr="00A25CD8" w14:paraId="1094AB57" w14:textId="77777777" w:rsidTr="00B02BBE">
        <w:trPr>
          <w:trHeight w:val="1255"/>
        </w:trPr>
        <w:tc>
          <w:tcPr>
            <w:tcW w:w="1667" w:type="pct"/>
            <w:vAlign w:val="center"/>
          </w:tcPr>
          <w:p w14:paraId="1155716B" w14:textId="77777777" w:rsidR="001F2E83" w:rsidRPr="00B02BBE" w:rsidRDefault="001F2E83" w:rsidP="00B02BBE">
            <w:pPr>
              <w:jc w:val="center"/>
              <w:rPr>
                <w:rFonts w:ascii="Arial" w:hAnsi="Arial" w:cs="Arial"/>
                <w:sz w:val="20"/>
                <w:szCs w:val="20"/>
              </w:rPr>
            </w:pPr>
            <w:r w:rsidRPr="00B02BBE">
              <w:rPr>
                <w:rFonts w:ascii="Arial" w:hAnsi="Arial" w:cs="Arial"/>
                <w:sz w:val="20"/>
                <w:szCs w:val="20"/>
              </w:rPr>
              <w:t>Carbon Monoxide (CO)</w:t>
            </w:r>
          </w:p>
        </w:tc>
        <w:tc>
          <w:tcPr>
            <w:tcW w:w="1667" w:type="pct"/>
            <w:vAlign w:val="center"/>
          </w:tcPr>
          <w:p w14:paraId="15ECD3EA" w14:textId="77777777" w:rsidR="001F2E83" w:rsidRPr="00B02BBE" w:rsidRDefault="001F2E83" w:rsidP="00B02BBE">
            <w:pPr>
              <w:jc w:val="center"/>
              <w:rPr>
                <w:rFonts w:ascii="Arial" w:hAnsi="Arial" w:cs="Arial"/>
                <w:sz w:val="20"/>
                <w:szCs w:val="20"/>
              </w:rPr>
            </w:pPr>
            <w:r w:rsidRPr="00B02BBE">
              <w:rPr>
                <w:rFonts w:ascii="Arial" w:hAnsi="Arial" w:cs="Arial"/>
                <w:sz w:val="20"/>
                <w:szCs w:val="20"/>
              </w:rPr>
              <w:t>Gas engine or gas turbine</w:t>
            </w:r>
          </w:p>
        </w:tc>
        <w:tc>
          <w:tcPr>
            <w:tcW w:w="1666" w:type="pct"/>
            <w:vAlign w:val="center"/>
          </w:tcPr>
          <w:p w14:paraId="398A7AC5" w14:textId="77777777" w:rsidR="001F2E83" w:rsidRPr="00B02BBE" w:rsidRDefault="001F2E83" w:rsidP="00B02BBE">
            <w:pPr>
              <w:jc w:val="center"/>
              <w:rPr>
                <w:rFonts w:ascii="Arial" w:hAnsi="Arial" w:cs="Arial"/>
                <w:sz w:val="20"/>
                <w:szCs w:val="20"/>
              </w:rPr>
            </w:pPr>
            <w:r w:rsidRPr="00B02BBE">
              <w:rPr>
                <w:rFonts w:ascii="Arial" w:hAnsi="Arial" w:cs="Arial"/>
                <w:sz w:val="20"/>
                <w:szCs w:val="20"/>
              </w:rPr>
              <w:t>No limit</w:t>
            </w:r>
          </w:p>
        </w:tc>
      </w:tr>
    </w:tbl>
    <w:p w14:paraId="50C45136" w14:textId="77777777" w:rsidR="00E07122" w:rsidRDefault="00E07122" w:rsidP="00A25CD8">
      <w:pPr>
        <w:pStyle w:val="Bullet1"/>
        <w:numPr>
          <w:ilvl w:val="0"/>
          <w:numId w:val="0"/>
        </w:numPr>
        <w:rPr>
          <w:rFonts w:ascii="Arial" w:hAnsi="Arial" w:cs="Arial"/>
          <w:sz w:val="24"/>
        </w:rPr>
      </w:pPr>
    </w:p>
    <w:p w14:paraId="1D7C7BBD" w14:textId="77777777" w:rsidR="00E07122" w:rsidRPr="00AB30F0" w:rsidRDefault="00E07122" w:rsidP="00A25CD8">
      <w:pPr>
        <w:pStyle w:val="Bullet1"/>
        <w:numPr>
          <w:ilvl w:val="0"/>
          <w:numId w:val="0"/>
        </w:numPr>
        <w:rPr>
          <w:rStyle w:val="Red"/>
          <w:rFonts w:ascii="Arial" w:hAnsi="Arial" w:cs="Arial"/>
        </w:rPr>
      </w:pPr>
    </w:p>
    <w:p w14:paraId="4C05A07F" w14:textId="2342A4F9" w:rsidR="00564F85" w:rsidRDefault="00D46DD8" w:rsidP="00564F85">
      <w:pPr>
        <w:pStyle w:val="Bullet0"/>
        <w:numPr>
          <w:ilvl w:val="0"/>
          <w:numId w:val="0"/>
        </w:numPr>
        <w:rPr>
          <w:rFonts w:ascii="Arial" w:hAnsi="Arial" w:cs="Arial"/>
          <w:b w:val="0"/>
          <w:bCs w:val="0"/>
          <w:sz w:val="20"/>
          <w:szCs w:val="20"/>
        </w:rPr>
      </w:pPr>
      <w:r w:rsidRPr="00960264">
        <w:rPr>
          <w:rFonts w:ascii="Arial" w:hAnsi="Arial" w:cs="Arial"/>
          <w:b w:val="0"/>
          <w:bCs w:val="0"/>
          <w:sz w:val="20"/>
          <w:szCs w:val="20"/>
        </w:rPr>
        <w:t>Monitoring requirements are defined at a temperature of 273.15 K, a pressure of 101.3 kPa and after correction for the water vapour content of the waste gases at a standardised O</w:t>
      </w:r>
      <w:r w:rsidRPr="00960264">
        <w:rPr>
          <w:rFonts w:ascii="Arial" w:hAnsi="Arial" w:cs="Arial"/>
          <w:b w:val="0"/>
          <w:bCs w:val="0"/>
          <w:sz w:val="20"/>
          <w:szCs w:val="20"/>
          <w:vertAlign w:val="subscript"/>
        </w:rPr>
        <w:t>2</w:t>
      </w:r>
      <w:r w:rsidRPr="00960264">
        <w:rPr>
          <w:rFonts w:ascii="Arial" w:hAnsi="Arial" w:cs="Arial"/>
          <w:b w:val="0"/>
          <w:bCs w:val="0"/>
          <w:sz w:val="20"/>
          <w:szCs w:val="20"/>
        </w:rPr>
        <w:t xml:space="preserve"> content of 15% for engines.</w:t>
      </w:r>
    </w:p>
    <w:p w14:paraId="4EBFA5CB" w14:textId="77777777" w:rsidR="001F2E83" w:rsidRDefault="001F2E83" w:rsidP="00564F85">
      <w:pPr>
        <w:pStyle w:val="Bullet0"/>
        <w:numPr>
          <w:ilvl w:val="0"/>
          <w:numId w:val="0"/>
        </w:numPr>
        <w:rPr>
          <w:rFonts w:ascii="Arial" w:hAnsi="Arial" w:cs="Arial"/>
          <w:b w:val="0"/>
          <w:bCs w:val="0"/>
          <w:sz w:val="20"/>
          <w:szCs w:val="20"/>
        </w:rPr>
      </w:pPr>
    </w:p>
    <w:p w14:paraId="21DE1E63" w14:textId="69029608" w:rsidR="001F2E83" w:rsidRPr="00B02BBE" w:rsidRDefault="001F2E83" w:rsidP="001F2E83">
      <w:pPr>
        <w:pStyle w:val="Bullet1"/>
        <w:numPr>
          <w:ilvl w:val="0"/>
          <w:numId w:val="0"/>
        </w:numPr>
        <w:rPr>
          <w:rFonts w:ascii="Arial" w:hAnsi="Arial" w:cs="Arial"/>
          <w:b/>
          <w:bCs w:val="0"/>
          <w:szCs w:val="20"/>
        </w:rPr>
      </w:pPr>
      <w:r w:rsidRPr="00B02BBE">
        <w:rPr>
          <w:rFonts w:ascii="Arial" w:hAnsi="Arial" w:cs="Arial"/>
          <w:b/>
          <w:bCs w:val="0"/>
          <w:szCs w:val="20"/>
        </w:rPr>
        <w:t>Table 3.2b Point source emissions to air – emission limits (applicable to each generator that is also a new medium combustion plant)</w:t>
      </w:r>
    </w:p>
    <w:tbl>
      <w:tblPr>
        <w:tblStyle w:val="TableGrid"/>
        <w:tblW w:w="5000" w:type="pct"/>
        <w:tblLook w:val="04A0" w:firstRow="1" w:lastRow="0" w:firstColumn="1" w:lastColumn="0" w:noHBand="0" w:noVBand="1"/>
      </w:tblPr>
      <w:tblGrid>
        <w:gridCol w:w="3214"/>
        <w:gridCol w:w="3215"/>
        <w:gridCol w:w="3213"/>
      </w:tblGrid>
      <w:tr w:rsidR="00AC3DF4" w:rsidRPr="00C24F9C" w14:paraId="575C7366" w14:textId="77777777" w:rsidTr="00B02BBE">
        <w:trPr>
          <w:cnfStyle w:val="100000000000" w:firstRow="1" w:lastRow="0" w:firstColumn="0" w:lastColumn="0" w:oddVBand="0" w:evenVBand="0" w:oddHBand="0" w:evenHBand="0" w:firstRowFirstColumn="0" w:firstRowLastColumn="0" w:lastRowFirstColumn="0" w:lastRowLastColumn="0"/>
          <w:trHeight w:val="1308"/>
        </w:trPr>
        <w:tc>
          <w:tcPr>
            <w:tcW w:w="1667" w:type="pct"/>
            <w:vAlign w:val="center"/>
          </w:tcPr>
          <w:p w14:paraId="55DACBBB" w14:textId="77777777" w:rsidR="00AC3DF4" w:rsidRPr="00B02BBE" w:rsidRDefault="00AC3DF4" w:rsidP="00B02BBE">
            <w:pPr>
              <w:jc w:val="center"/>
              <w:rPr>
                <w:rFonts w:ascii="Arial" w:hAnsi="Arial" w:cs="Arial"/>
                <w:sz w:val="20"/>
                <w:szCs w:val="20"/>
              </w:rPr>
            </w:pPr>
            <w:r w:rsidRPr="00B02BBE">
              <w:rPr>
                <w:rFonts w:ascii="Arial" w:hAnsi="Arial" w:cs="Arial"/>
                <w:sz w:val="20"/>
                <w:szCs w:val="20"/>
              </w:rPr>
              <w:t>Pollutant</w:t>
            </w:r>
          </w:p>
        </w:tc>
        <w:tc>
          <w:tcPr>
            <w:tcW w:w="1667" w:type="pct"/>
            <w:vAlign w:val="center"/>
          </w:tcPr>
          <w:p w14:paraId="45C6AE82" w14:textId="13B42E1F" w:rsidR="00AC3DF4" w:rsidRPr="00B02BBE" w:rsidRDefault="00AC3DF4" w:rsidP="00B02BBE">
            <w:pPr>
              <w:jc w:val="center"/>
              <w:rPr>
                <w:rFonts w:ascii="Arial" w:hAnsi="Arial" w:cs="Arial"/>
                <w:sz w:val="20"/>
                <w:szCs w:val="20"/>
              </w:rPr>
            </w:pPr>
            <w:r w:rsidRPr="00B02BBE">
              <w:rPr>
                <w:rFonts w:ascii="Arial" w:hAnsi="Arial" w:cs="Arial"/>
                <w:sz w:val="20"/>
                <w:szCs w:val="20"/>
              </w:rPr>
              <w:t>Combustion</w:t>
            </w:r>
          </w:p>
          <w:p w14:paraId="72218871" w14:textId="77777777" w:rsidR="00AC3DF4" w:rsidRPr="00B02BBE" w:rsidRDefault="00AC3DF4" w:rsidP="00B02BBE">
            <w:pPr>
              <w:jc w:val="center"/>
              <w:rPr>
                <w:rFonts w:ascii="Arial" w:hAnsi="Arial" w:cs="Arial"/>
                <w:sz w:val="20"/>
                <w:szCs w:val="20"/>
              </w:rPr>
            </w:pPr>
            <w:r w:rsidRPr="00B02BBE">
              <w:rPr>
                <w:rFonts w:ascii="Arial" w:hAnsi="Arial" w:cs="Arial"/>
                <w:sz w:val="20"/>
                <w:szCs w:val="20"/>
              </w:rPr>
              <w:t>technology</w:t>
            </w:r>
          </w:p>
        </w:tc>
        <w:tc>
          <w:tcPr>
            <w:tcW w:w="1666" w:type="pct"/>
            <w:vAlign w:val="center"/>
          </w:tcPr>
          <w:p w14:paraId="3D1123B5" w14:textId="77777777" w:rsidR="00AC3DF4" w:rsidRPr="00B02BBE" w:rsidRDefault="00AC3DF4" w:rsidP="00B02BBE">
            <w:pPr>
              <w:jc w:val="center"/>
              <w:rPr>
                <w:rFonts w:ascii="Arial" w:hAnsi="Arial" w:cs="Arial"/>
                <w:sz w:val="20"/>
                <w:szCs w:val="20"/>
              </w:rPr>
            </w:pPr>
            <w:r w:rsidRPr="00B02BBE">
              <w:rPr>
                <w:rFonts w:ascii="Arial" w:hAnsi="Arial" w:cs="Arial"/>
                <w:sz w:val="20"/>
                <w:szCs w:val="20"/>
              </w:rPr>
              <w:t>Emission limit</w:t>
            </w:r>
          </w:p>
          <w:p w14:paraId="10B6FEDF" w14:textId="060B1F10" w:rsidR="00AC3DF4" w:rsidRPr="00B02BBE" w:rsidRDefault="00AC3DF4" w:rsidP="00B02BBE">
            <w:pPr>
              <w:jc w:val="center"/>
              <w:rPr>
                <w:rFonts w:ascii="Arial" w:hAnsi="Arial" w:cs="Arial"/>
                <w:sz w:val="20"/>
                <w:szCs w:val="20"/>
              </w:rPr>
            </w:pPr>
            <w:r w:rsidRPr="00B02BBE">
              <w:rPr>
                <w:rFonts w:ascii="Arial" w:hAnsi="Arial" w:cs="Arial"/>
                <w:sz w:val="20"/>
                <w:szCs w:val="20"/>
              </w:rPr>
              <w:t>(mg/Nmᶟ)</w:t>
            </w:r>
            <w:bookmarkStart w:id="6" w:name="_GoBack"/>
            <w:bookmarkEnd w:id="6"/>
          </w:p>
        </w:tc>
      </w:tr>
      <w:tr w:rsidR="00AC3DF4" w:rsidRPr="00C24F9C" w14:paraId="39AB55C2" w14:textId="77777777" w:rsidTr="00B02BBE">
        <w:trPr>
          <w:trHeight w:val="1431"/>
        </w:trPr>
        <w:tc>
          <w:tcPr>
            <w:tcW w:w="1667" w:type="pct"/>
            <w:vAlign w:val="center"/>
          </w:tcPr>
          <w:p w14:paraId="4532C8EF" w14:textId="77777777" w:rsidR="00AC3DF4" w:rsidRPr="00B02BBE" w:rsidRDefault="00AC3DF4" w:rsidP="00B02BBE">
            <w:pPr>
              <w:spacing w:after="46" w:line="259" w:lineRule="auto"/>
              <w:jc w:val="center"/>
              <w:rPr>
                <w:rFonts w:ascii="Arial" w:hAnsi="Arial" w:cs="Arial"/>
                <w:sz w:val="20"/>
                <w:szCs w:val="20"/>
              </w:rPr>
            </w:pPr>
            <w:r w:rsidRPr="00B02BBE">
              <w:rPr>
                <w:rFonts w:ascii="Arial" w:hAnsi="Arial" w:cs="Arial"/>
                <w:sz w:val="20"/>
                <w:szCs w:val="20"/>
              </w:rPr>
              <w:t xml:space="preserve">Oxides of </w:t>
            </w:r>
            <w:proofErr w:type="gramStart"/>
            <w:r w:rsidRPr="00B02BBE">
              <w:rPr>
                <w:rFonts w:ascii="Arial" w:hAnsi="Arial" w:cs="Arial"/>
                <w:sz w:val="20"/>
                <w:szCs w:val="20"/>
              </w:rPr>
              <w:t>Nitrogen  (</w:t>
            </w:r>
            <w:proofErr w:type="gramEnd"/>
            <w:r w:rsidRPr="00B02BBE">
              <w:rPr>
                <w:rFonts w:ascii="Arial" w:hAnsi="Arial" w:cs="Arial"/>
                <w:sz w:val="20"/>
                <w:szCs w:val="20"/>
              </w:rPr>
              <w:t>NO and NO</w:t>
            </w:r>
            <w:r w:rsidRPr="00B02BBE">
              <w:rPr>
                <w:rFonts w:ascii="Arial" w:hAnsi="Arial" w:cs="Arial"/>
                <w:sz w:val="20"/>
                <w:szCs w:val="20"/>
                <w:vertAlign w:val="subscript"/>
              </w:rPr>
              <w:t xml:space="preserve">2 </w:t>
            </w:r>
            <w:r w:rsidRPr="00B02BBE">
              <w:rPr>
                <w:rFonts w:ascii="Arial" w:hAnsi="Arial" w:cs="Arial"/>
                <w:sz w:val="20"/>
                <w:szCs w:val="20"/>
              </w:rPr>
              <w:t>expressed as NO</w:t>
            </w:r>
            <w:r w:rsidRPr="00B02BBE">
              <w:rPr>
                <w:rFonts w:ascii="Arial" w:hAnsi="Arial" w:cs="Arial"/>
                <w:sz w:val="20"/>
                <w:szCs w:val="20"/>
                <w:vertAlign w:val="subscript"/>
              </w:rPr>
              <w:t>2</w:t>
            </w:r>
            <w:r w:rsidRPr="00B02BBE">
              <w:rPr>
                <w:rFonts w:ascii="Arial" w:hAnsi="Arial" w:cs="Arial"/>
                <w:sz w:val="20"/>
                <w:szCs w:val="20"/>
              </w:rPr>
              <w:t>)</w:t>
            </w:r>
          </w:p>
        </w:tc>
        <w:tc>
          <w:tcPr>
            <w:tcW w:w="1667" w:type="pct"/>
            <w:vAlign w:val="center"/>
          </w:tcPr>
          <w:p w14:paraId="485355CF" w14:textId="77777777" w:rsidR="00AC3DF4" w:rsidRPr="00B02BBE" w:rsidRDefault="00AC3DF4" w:rsidP="00B02BBE">
            <w:pPr>
              <w:pStyle w:val="Bullet1"/>
              <w:numPr>
                <w:ilvl w:val="0"/>
                <w:numId w:val="0"/>
              </w:numPr>
              <w:ind w:left="85"/>
              <w:jc w:val="center"/>
              <w:rPr>
                <w:rStyle w:val="Red"/>
                <w:rFonts w:ascii="Arial" w:hAnsi="Arial" w:cs="Arial"/>
                <w:color w:val="auto"/>
                <w:szCs w:val="20"/>
              </w:rPr>
            </w:pPr>
            <w:r w:rsidRPr="00B02BBE">
              <w:rPr>
                <w:rStyle w:val="Red"/>
                <w:rFonts w:ascii="Arial" w:hAnsi="Arial" w:cs="Arial"/>
                <w:color w:val="auto"/>
                <w:szCs w:val="20"/>
              </w:rPr>
              <w:t>CHP boiler</w:t>
            </w:r>
          </w:p>
        </w:tc>
        <w:tc>
          <w:tcPr>
            <w:tcW w:w="1666" w:type="pct"/>
            <w:vAlign w:val="center"/>
          </w:tcPr>
          <w:p w14:paraId="400FD000" w14:textId="77777777" w:rsidR="00AC3DF4" w:rsidRPr="00B02BBE" w:rsidRDefault="00AC3DF4" w:rsidP="00B02BBE">
            <w:pPr>
              <w:pStyle w:val="Bullet1"/>
              <w:numPr>
                <w:ilvl w:val="0"/>
                <w:numId w:val="0"/>
              </w:numPr>
              <w:ind w:left="85"/>
              <w:jc w:val="center"/>
              <w:rPr>
                <w:rFonts w:ascii="Arial" w:hAnsi="Arial" w:cs="Arial"/>
                <w:szCs w:val="20"/>
              </w:rPr>
            </w:pPr>
            <w:r w:rsidRPr="00B02BBE">
              <w:rPr>
                <w:rStyle w:val="Red"/>
                <w:rFonts w:ascii="Arial" w:hAnsi="Arial" w:cs="Arial"/>
                <w:color w:val="auto"/>
                <w:szCs w:val="20"/>
              </w:rPr>
              <w:t>100</w:t>
            </w:r>
          </w:p>
        </w:tc>
      </w:tr>
      <w:tr w:rsidR="00AC3DF4" w:rsidRPr="00C24F9C" w14:paraId="0ADCA135" w14:textId="77777777" w:rsidTr="00B02BBE">
        <w:trPr>
          <w:trHeight w:val="1431"/>
        </w:trPr>
        <w:tc>
          <w:tcPr>
            <w:tcW w:w="1667" w:type="pct"/>
            <w:vAlign w:val="center"/>
          </w:tcPr>
          <w:p w14:paraId="7D05D16F" w14:textId="77777777" w:rsidR="00AC3DF4" w:rsidRPr="00B02BBE" w:rsidRDefault="00AC3DF4" w:rsidP="00B02BBE">
            <w:pPr>
              <w:spacing w:after="46" w:line="259" w:lineRule="auto"/>
              <w:jc w:val="center"/>
              <w:rPr>
                <w:rFonts w:ascii="Arial" w:hAnsi="Arial" w:cs="Arial"/>
                <w:sz w:val="20"/>
                <w:szCs w:val="20"/>
              </w:rPr>
            </w:pPr>
            <w:r w:rsidRPr="00B02BBE">
              <w:rPr>
                <w:rFonts w:ascii="Arial" w:hAnsi="Arial" w:cs="Arial"/>
                <w:sz w:val="20"/>
                <w:szCs w:val="20"/>
              </w:rPr>
              <w:t>Carbon Monoxide (CO)</w:t>
            </w:r>
          </w:p>
        </w:tc>
        <w:tc>
          <w:tcPr>
            <w:tcW w:w="1667" w:type="pct"/>
            <w:vAlign w:val="center"/>
          </w:tcPr>
          <w:p w14:paraId="634086FC" w14:textId="77777777" w:rsidR="00AC3DF4" w:rsidRPr="00B02BBE" w:rsidRDefault="00AC3DF4" w:rsidP="00B02BBE">
            <w:pPr>
              <w:pStyle w:val="Bullet1"/>
              <w:numPr>
                <w:ilvl w:val="0"/>
                <w:numId w:val="0"/>
              </w:numPr>
              <w:ind w:left="85"/>
              <w:jc w:val="center"/>
              <w:rPr>
                <w:rStyle w:val="Red"/>
                <w:rFonts w:ascii="Arial" w:hAnsi="Arial" w:cs="Arial"/>
                <w:color w:val="auto"/>
                <w:szCs w:val="20"/>
              </w:rPr>
            </w:pPr>
            <w:r w:rsidRPr="00B02BBE">
              <w:rPr>
                <w:rStyle w:val="Red"/>
                <w:rFonts w:ascii="Arial" w:hAnsi="Arial" w:cs="Arial"/>
                <w:color w:val="auto"/>
                <w:szCs w:val="20"/>
              </w:rPr>
              <w:t>CHP boiler</w:t>
            </w:r>
          </w:p>
        </w:tc>
        <w:tc>
          <w:tcPr>
            <w:tcW w:w="1666" w:type="pct"/>
            <w:vAlign w:val="center"/>
          </w:tcPr>
          <w:p w14:paraId="3D874E89" w14:textId="77777777" w:rsidR="00AC3DF4" w:rsidRPr="00B02BBE" w:rsidRDefault="00AC3DF4" w:rsidP="00B02BBE">
            <w:pPr>
              <w:pStyle w:val="Bullet1"/>
              <w:numPr>
                <w:ilvl w:val="0"/>
                <w:numId w:val="0"/>
              </w:numPr>
              <w:ind w:left="85"/>
              <w:jc w:val="center"/>
              <w:rPr>
                <w:rFonts w:ascii="Arial" w:hAnsi="Arial" w:cs="Arial"/>
                <w:szCs w:val="20"/>
              </w:rPr>
            </w:pPr>
            <w:r w:rsidRPr="00B02BBE">
              <w:rPr>
                <w:rStyle w:val="Red"/>
                <w:rFonts w:ascii="Arial" w:hAnsi="Arial" w:cs="Arial"/>
                <w:color w:val="auto"/>
                <w:szCs w:val="20"/>
              </w:rPr>
              <w:t>No limit</w:t>
            </w:r>
          </w:p>
        </w:tc>
      </w:tr>
    </w:tbl>
    <w:p w14:paraId="0DD5350E" w14:textId="7F3119F9" w:rsidR="00AC3DF4" w:rsidRPr="00D27649" w:rsidRDefault="00AC3DF4" w:rsidP="00AC3DF4">
      <w:pPr>
        <w:pStyle w:val="Bullet0"/>
        <w:numPr>
          <w:ilvl w:val="0"/>
          <w:numId w:val="0"/>
        </w:numPr>
        <w:rPr>
          <w:rFonts w:ascii="Arial" w:hAnsi="Arial" w:cs="Arial"/>
          <w:b w:val="0"/>
          <w:bCs w:val="0"/>
          <w:sz w:val="20"/>
          <w:szCs w:val="20"/>
        </w:rPr>
      </w:pPr>
      <w:r w:rsidRPr="00D27649">
        <w:rPr>
          <w:rFonts w:ascii="Arial" w:hAnsi="Arial" w:cs="Arial"/>
          <w:b w:val="0"/>
          <w:bCs w:val="0"/>
          <w:sz w:val="20"/>
          <w:szCs w:val="20"/>
        </w:rPr>
        <w:t>Monitoring requirements are defined at a temperature of 273.15 K, a pressure of 101.3 kPa and after correction for the water vapour content of the waste gases at a standardised O</w:t>
      </w:r>
      <w:r w:rsidRPr="00D27649">
        <w:rPr>
          <w:rFonts w:ascii="Arial" w:hAnsi="Arial" w:cs="Arial"/>
          <w:b w:val="0"/>
          <w:bCs w:val="0"/>
          <w:sz w:val="20"/>
          <w:szCs w:val="20"/>
          <w:vertAlign w:val="subscript"/>
        </w:rPr>
        <w:t>2</w:t>
      </w:r>
      <w:r w:rsidRPr="00D27649">
        <w:rPr>
          <w:rFonts w:ascii="Arial" w:hAnsi="Arial" w:cs="Arial"/>
          <w:b w:val="0"/>
          <w:bCs w:val="0"/>
          <w:sz w:val="20"/>
          <w:szCs w:val="20"/>
        </w:rPr>
        <w:t xml:space="preserve"> content of</w:t>
      </w:r>
      <w:r>
        <w:rPr>
          <w:rFonts w:ascii="Arial" w:hAnsi="Arial" w:cs="Arial"/>
          <w:b w:val="0"/>
          <w:bCs w:val="0"/>
          <w:sz w:val="20"/>
          <w:szCs w:val="20"/>
        </w:rPr>
        <w:t xml:space="preserve"> </w:t>
      </w:r>
      <w:r w:rsidRPr="00D27649">
        <w:rPr>
          <w:rFonts w:ascii="Arial" w:hAnsi="Arial" w:cs="Arial"/>
          <w:b w:val="0"/>
          <w:bCs w:val="0"/>
          <w:sz w:val="20"/>
          <w:szCs w:val="20"/>
        </w:rPr>
        <w:t>3% for CHP Boilers.</w:t>
      </w:r>
    </w:p>
    <w:p w14:paraId="122D85AD" w14:textId="77777777" w:rsidR="00D46DD8" w:rsidRPr="00AB30F0" w:rsidRDefault="00D46DD8" w:rsidP="00564F85">
      <w:pPr>
        <w:pStyle w:val="Bullet0"/>
        <w:numPr>
          <w:ilvl w:val="0"/>
          <w:numId w:val="0"/>
        </w:numPr>
        <w:rPr>
          <w:rFonts w:ascii="Arial" w:hAnsi="Arial" w:cs="Arial"/>
        </w:rPr>
      </w:pPr>
    </w:p>
    <w:p w14:paraId="0D315051" w14:textId="29E57BC0" w:rsidR="008C6303" w:rsidRPr="008C6303" w:rsidRDefault="00564F85" w:rsidP="008C6303">
      <w:pPr>
        <w:pStyle w:val="Bullet0"/>
        <w:rPr>
          <w:rFonts w:ascii="Arial" w:hAnsi="Arial" w:cs="Arial"/>
        </w:rPr>
      </w:pPr>
      <w:r w:rsidRPr="00AB30F0">
        <w:rPr>
          <w:rFonts w:ascii="Arial" w:hAnsi="Arial" w:cs="Arial"/>
        </w:rPr>
        <w:t>Monitoring</w:t>
      </w:r>
    </w:p>
    <w:p w14:paraId="1481A6BE" w14:textId="5D88E990" w:rsidR="008C6303" w:rsidRDefault="00562C29" w:rsidP="008C6303">
      <w:pPr>
        <w:pStyle w:val="Bullet1"/>
        <w:tabs>
          <w:tab w:val="left" w:pos="709"/>
        </w:tabs>
        <w:rPr>
          <w:rFonts w:ascii="Arial" w:hAnsi="Arial" w:cs="Arial"/>
          <w:szCs w:val="20"/>
        </w:rPr>
      </w:pPr>
      <w:r w:rsidRPr="002631EA">
        <w:rPr>
          <w:rFonts w:ascii="Arial" w:hAnsi="Arial" w:cs="Arial"/>
          <w:szCs w:val="20"/>
        </w:rPr>
        <w:t xml:space="preserve">The operator shall, </w:t>
      </w:r>
      <w:bookmarkStart w:id="7" w:name="_Hlk54889492"/>
      <w:bookmarkStart w:id="8" w:name="_Hlk526330786"/>
      <w:r w:rsidR="003A07EC" w:rsidRPr="002631EA">
        <w:rPr>
          <w:rFonts w:ascii="Arial" w:hAnsi="Arial" w:cs="Arial"/>
          <w:szCs w:val="20"/>
        </w:rPr>
        <w:t>unle</w:t>
      </w:r>
      <w:r w:rsidR="003A07EC" w:rsidRPr="003A07EC">
        <w:rPr>
          <w:rFonts w:ascii="Arial" w:hAnsi="Arial" w:cs="Arial"/>
          <w:szCs w:val="20"/>
        </w:rPr>
        <w:t xml:space="preserve">ss otherwise agreed in writing by Natural Resources Wales, undertake monitoring on the stack of each Generator for the parameters in table 3.1 every 3 years, where abatement is fitted, </w:t>
      </w:r>
      <w:r w:rsidR="002631EA">
        <w:rPr>
          <w:rFonts w:ascii="Arial" w:hAnsi="Arial" w:cs="Arial"/>
          <w:szCs w:val="20"/>
        </w:rPr>
        <w:t xml:space="preserve">and </w:t>
      </w:r>
      <w:r w:rsidR="002631EA" w:rsidRPr="002631EA">
        <w:rPr>
          <w:rFonts w:ascii="Arial" w:hAnsi="Arial" w:cs="Arial"/>
          <w:szCs w:val="20"/>
        </w:rPr>
        <w:t xml:space="preserve">undertake monitoring on the stack of each Generator that is also a new </w:t>
      </w:r>
      <w:r w:rsidR="002631EA" w:rsidRPr="002631EA">
        <w:rPr>
          <w:rFonts w:ascii="Arial" w:hAnsi="Arial" w:cs="Arial"/>
          <w:szCs w:val="20"/>
        </w:rPr>
        <w:lastRenderedPageBreak/>
        <w:t>Medium Combustion Plant</w:t>
      </w:r>
      <w:r w:rsidR="002631EA">
        <w:rPr>
          <w:rFonts w:ascii="Arial" w:hAnsi="Arial" w:cs="Arial"/>
          <w:szCs w:val="20"/>
        </w:rPr>
        <w:t xml:space="preserve"> </w:t>
      </w:r>
      <w:r w:rsidR="002631EA" w:rsidRPr="002631EA">
        <w:rPr>
          <w:rFonts w:ascii="Arial" w:hAnsi="Arial" w:cs="Arial"/>
          <w:szCs w:val="20"/>
        </w:rPr>
        <w:t>for the parameters in tables 3.2a and 3.2b every three years</w:t>
      </w:r>
      <w:r w:rsidR="002631EA">
        <w:rPr>
          <w:rFonts w:ascii="Arial" w:hAnsi="Arial" w:cs="Arial"/>
          <w:szCs w:val="20"/>
        </w:rPr>
        <w:t>,</w:t>
      </w:r>
      <w:r w:rsidR="002631EA" w:rsidRPr="002631EA">
        <w:rPr>
          <w:rFonts w:ascii="Arial" w:hAnsi="Arial" w:cs="Arial"/>
          <w:szCs w:val="20"/>
        </w:rPr>
        <w:t xml:space="preserve"> from the permit issue date</w:t>
      </w:r>
      <w:r w:rsidR="00D57137">
        <w:rPr>
          <w:rFonts w:ascii="Arial" w:hAnsi="Arial" w:cs="Arial"/>
          <w:szCs w:val="20"/>
        </w:rPr>
        <w:t>.</w:t>
      </w:r>
      <w:r w:rsidR="002631EA" w:rsidRPr="002631EA" w:rsidDel="003A07EC">
        <w:rPr>
          <w:rFonts w:ascii="Arial" w:hAnsi="Arial" w:cs="Arial"/>
          <w:szCs w:val="20"/>
        </w:rPr>
        <w:t xml:space="preserve"> </w:t>
      </w:r>
      <w:bookmarkEnd w:id="7"/>
      <w:bookmarkEnd w:id="8"/>
    </w:p>
    <w:p w14:paraId="0B50EB04" w14:textId="05C7B9B7" w:rsidR="004274B4" w:rsidRDefault="004274B4" w:rsidP="008C6303">
      <w:pPr>
        <w:pStyle w:val="Bullet1"/>
        <w:tabs>
          <w:tab w:val="left" w:pos="709"/>
        </w:tabs>
        <w:rPr>
          <w:rFonts w:ascii="Arial" w:hAnsi="Arial" w:cs="Arial"/>
          <w:szCs w:val="20"/>
        </w:rPr>
      </w:pPr>
      <w:r>
        <w:rPr>
          <w:rFonts w:ascii="Arial" w:hAnsi="Arial" w:cs="Arial"/>
          <w:szCs w:val="20"/>
        </w:rPr>
        <w:t>The operator shall, if notified</w:t>
      </w:r>
      <w:r w:rsidR="0082653F">
        <w:rPr>
          <w:rFonts w:ascii="Arial" w:hAnsi="Arial" w:cs="Arial"/>
          <w:szCs w:val="20"/>
        </w:rPr>
        <w:t xml:space="preserve"> in writing</w:t>
      </w:r>
      <w:r>
        <w:rPr>
          <w:rFonts w:ascii="Arial" w:hAnsi="Arial" w:cs="Arial"/>
          <w:szCs w:val="20"/>
        </w:rPr>
        <w:t xml:space="preserve"> by Natural Resources Wales, undertake </w:t>
      </w:r>
      <w:r w:rsidR="000E4F7E">
        <w:rPr>
          <w:rFonts w:ascii="Arial" w:hAnsi="Arial" w:cs="Arial"/>
          <w:szCs w:val="20"/>
        </w:rPr>
        <w:t xml:space="preserve">additional </w:t>
      </w:r>
      <w:r>
        <w:rPr>
          <w:rFonts w:ascii="Arial" w:hAnsi="Arial" w:cs="Arial"/>
          <w:szCs w:val="20"/>
        </w:rPr>
        <w:t>monitoring for the parameters and at the locations specified in table</w:t>
      </w:r>
      <w:r w:rsidR="008D2683">
        <w:rPr>
          <w:rFonts w:ascii="Arial" w:hAnsi="Arial" w:cs="Arial"/>
          <w:szCs w:val="20"/>
        </w:rPr>
        <w:t>s</w:t>
      </w:r>
      <w:r>
        <w:rPr>
          <w:rFonts w:ascii="Arial" w:hAnsi="Arial" w:cs="Arial"/>
          <w:szCs w:val="20"/>
        </w:rPr>
        <w:t xml:space="preserve"> 3.1</w:t>
      </w:r>
      <w:r w:rsidR="008D2683">
        <w:rPr>
          <w:rFonts w:ascii="Arial" w:hAnsi="Arial" w:cs="Arial"/>
          <w:szCs w:val="20"/>
        </w:rPr>
        <w:t>, 3.2a</w:t>
      </w:r>
      <w:r w:rsidR="001A35C8">
        <w:rPr>
          <w:rFonts w:ascii="Arial" w:hAnsi="Arial" w:cs="Arial"/>
          <w:szCs w:val="20"/>
        </w:rPr>
        <w:t xml:space="preserve"> and 3.2</w:t>
      </w:r>
      <w:r w:rsidR="008D2683">
        <w:rPr>
          <w:rFonts w:ascii="Arial" w:hAnsi="Arial" w:cs="Arial"/>
          <w:szCs w:val="20"/>
        </w:rPr>
        <w:t>b</w:t>
      </w:r>
      <w:r w:rsidR="0082653F">
        <w:rPr>
          <w:rFonts w:ascii="Arial" w:hAnsi="Arial" w:cs="Arial"/>
          <w:szCs w:val="20"/>
        </w:rPr>
        <w:t>.</w:t>
      </w:r>
    </w:p>
    <w:p w14:paraId="6BEEC118" w14:textId="13A5AF71" w:rsidR="004274B4" w:rsidRPr="008C6303" w:rsidRDefault="004274B4" w:rsidP="008C6303">
      <w:pPr>
        <w:pStyle w:val="Bullet1"/>
        <w:tabs>
          <w:tab w:val="left" w:pos="709"/>
        </w:tabs>
        <w:rPr>
          <w:rFonts w:ascii="Arial" w:hAnsi="Arial" w:cs="Arial"/>
          <w:szCs w:val="20"/>
        </w:rPr>
      </w:pPr>
      <w:r>
        <w:rPr>
          <w:rFonts w:ascii="Arial" w:hAnsi="Arial" w:cs="Arial"/>
          <w:szCs w:val="20"/>
        </w:rPr>
        <w:t xml:space="preserve">In the case of New Medium Combustion Plant, the first monitoring measurements shall be carried out within four months of the permit issue </w:t>
      </w:r>
      <w:r w:rsidR="00A138F5">
        <w:rPr>
          <w:rFonts w:ascii="Arial" w:hAnsi="Arial" w:cs="Arial"/>
          <w:szCs w:val="20"/>
        </w:rPr>
        <w:t>date or</w:t>
      </w:r>
      <w:r>
        <w:rPr>
          <w:rFonts w:ascii="Arial" w:hAnsi="Arial" w:cs="Arial"/>
          <w:szCs w:val="20"/>
        </w:rPr>
        <w:t xml:space="preserve"> the date when the combustion plant is first put into operation, whichever is later.</w:t>
      </w:r>
    </w:p>
    <w:p w14:paraId="3FD6DF1B" w14:textId="61762CA9" w:rsidR="008C6303" w:rsidRPr="008C6303" w:rsidRDefault="008C6303" w:rsidP="008C6303">
      <w:pPr>
        <w:pStyle w:val="Bullet1"/>
        <w:rPr>
          <w:rFonts w:ascii="Arial" w:hAnsi="Arial" w:cs="Arial"/>
          <w:szCs w:val="20"/>
        </w:rPr>
      </w:pPr>
      <w:r w:rsidRPr="008C6303">
        <w:rPr>
          <w:rFonts w:ascii="Arial" w:hAnsi="Arial" w:cs="Arial"/>
          <w:szCs w:val="20"/>
        </w:rPr>
        <w:t xml:space="preserve">The stack emissions monitoring programme shall be carried out according to </w:t>
      </w:r>
      <w:r w:rsidR="00681FB3">
        <w:rPr>
          <w:rFonts w:ascii="Arial" w:hAnsi="Arial" w:cs="Arial"/>
          <w:szCs w:val="20"/>
        </w:rPr>
        <w:t xml:space="preserve">the </w:t>
      </w:r>
      <w:r w:rsidRPr="008C6303">
        <w:rPr>
          <w:rFonts w:ascii="Arial" w:hAnsi="Arial" w:cs="Arial"/>
          <w:szCs w:val="20"/>
        </w:rPr>
        <w:t>E</w:t>
      </w:r>
      <w:r w:rsidR="00681FB3">
        <w:rPr>
          <w:rFonts w:ascii="Arial" w:hAnsi="Arial" w:cs="Arial"/>
          <w:szCs w:val="20"/>
        </w:rPr>
        <w:t xml:space="preserve">nvironment </w:t>
      </w:r>
      <w:r w:rsidRPr="008C6303">
        <w:rPr>
          <w:rFonts w:ascii="Arial" w:hAnsi="Arial" w:cs="Arial"/>
          <w:szCs w:val="20"/>
        </w:rPr>
        <w:t>A</w:t>
      </w:r>
      <w:r w:rsidR="00681FB3">
        <w:rPr>
          <w:rFonts w:ascii="Arial" w:hAnsi="Arial" w:cs="Arial"/>
          <w:szCs w:val="20"/>
        </w:rPr>
        <w:t>gency</w:t>
      </w:r>
      <w:r w:rsidRPr="008C6303">
        <w:rPr>
          <w:rFonts w:ascii="Arial" w:hAnsi="Arial" w:cs="Arial"/>
          <w:szCs w:val="20"/>
        </w:rPr>
        <w:t xml:space="preserve"> TGN M5, unless otherwise agreed in writing</w:t>
      </w:r>
      <w:r w:rsidR="004274B4">
        <w:rPr>
          <w:rFonts w:ascii="Arial" w:hAnsi="Arial" w:cs="Arial"/>
          <w:szCs w:val="20"/>
        </w:rPr>
        <w:t xml:space="preserve"> by Natural Resources Wales</w:t>
      </w:r>
      <w:r w:rsidRPr="008C6303">
        <w:rPr>
          <w:rFonts w:ascii="Arial" w:hAnsi="Arial" w:cs="Arial"/>
          <w:szCs w:val="20"/>
        </w:rPr>
        <w:t xml:space="preserve">. </w:t>
      </w:r>
    </w:p>
    <w:p w14:paraId="3139DE4F" w14:textId="7081854F" w:rsidR="008C6303" w:rsidRPr="008C6303" w:rsidRDefault="008C6303" w:rsidP="008C6303">
      <w:pPr>
        <w:pStyle w:val="Bullet1"/>
        <w:rPr>
          <w:rFonts w:ascii="Arial" w:hAnsi="Arial" w:cs="Arial"/>
          <w:szCs w:val="20"/>
        </w:rPr>
      </w:pPr>
      <w:r w:rsidRPr="008C6303">
        <w:rPr>
          <w:rFonts w:ascii="Arial" w:hAnsi="Arial" w:cs="Arial"/>
          <w:szCs w:val="20"/>
        </w:rPr>
        <w:t xml:space="preserve">Monitoring shall not include periods of start up or shut down. </w:t>
      </w:r>
    </w:p>
    <w:p w14:paraId="14124BD4" w14:textId="42C0DD99" w:rsidR="008C6303" w:rsidRPr="008C6303" w:rsidRDefault="008C6303" w:rsidP="008C6303">
      <w:pPr>
        <w:pStyle w:val="Bullet1"/>
        <w:rPr>
          <w:rFonts w:ascii="Arial" w:hAnsi="Arial" w:cs="Arial"/>
          <w:szCs w:val="20"/>
        </w:rPr>
      </w:pPr>
      <w:r w:rsidRPr="008C6303">
        <w:rPr>
          <w:rFonts w:ascii="Arial" w:hAnsi="Arial" w:cs="Arial"/>
          <w:szCs w:val="20"/>
        </w:rPr>
        <w:t xml:space="preserve">Where secondary abatement is required to ensure compliance with the NOx ELV monitoring shall start </w:t>
      </w:r>
      <w:r w:rsidR="003906AD">
        <w:rPr>
          <w:rFonts w:ascii="Arial" w:hAnsi="Arial" w:cs="Arial"/>
          <w:szCs w:val="20"/>
        </w:rPr>
        <w:t xml:space="preserve">within </w:t>
      </w:r>
      <w:r w:rsidRPr="008C6303">
        <w:rPr>
          <w:rFonts w:ascii="Arial" w:hAnsi="Arial" w:cs="Arial"/>
          <w:szCs w:val="20"/>
        </w:rPr>
        <w:t xml:space="preserve">10 minutes from when the generator commences operation and </w:t>
      </w:r>
      <w:r w:rsidR="003906AD">
        <w:rPr>
          <w:rFonts w:ascii="Arial" w:hAnsi="Arial" w:cs="Arial"/>
          <w:szCs w:val="20"/>
        </w:rPr>
        <w:t xml:space="preserve">within </w:t>
      </w:r>
      <w:r w:rsidRPr="008C6303">
        <w:rPr>
          <w:rFonts w:ascii="Arial" w:hAnsi="Arial" w:cs="Arial"/>
          <w:szCs w:val="20"/>
        </w:rPr>
        <w:t xml:space="preserve">20 minutes when the generator was a Tranche A and is now a Tranche B. </w:t>
      </w:r>
    </w:p>
    <w:p w14:paraId="70DE0500" w14:textId="012ABF41" w:rsidR="00564F85" w:rsidRDefault="008C6303" w:rsidP="008C6303">
      <w:pPr>
        <w:pStyle w:val="Bullet1"/>
        <w:rPr>
          <w:rFonts w:ascii="Arial" w:hAnsi="Arial" w:cs="Arial"/>
          <w:szCs w:val="20"/>
        </w:rPr>
      </w:pPr>
      <w:r w:rsidRPr="008C6303">
        <w:rPr>
          <w:rFonts w:ascii="Arial" w:hAnsi="Arial" w:cs="Arial"/>
          <w:szCs w:val="20"/>
        </w:rPr>
        <w:t>The operator shall maintain records of all monitoring required by these standard rules including records of the taking and analysis of samples, instrument measurements (periodic and continual), calibrations, examinations, test and surveys and any assessment or evaluation made on the basis of such data.</w:t>
      </w:r>
    </w:p>
    <w:p w14:paraId="5FF7BF55" w14:textId="77777777" w:rsidR="00485A54" w:rsidRPr="008C6303" w:rsidRDefault="00485A54" w:rsidP="00485A54">
      <w:pPr>
        <w:pStyle w:val="Bullet1"/>
        <w:numPr>
          <w:ilvl w:val="0"/>
          <w:numId w:val="0"/>
        </w:numPr>
        <w:ind w:left="680"/>
        <w:rPr>
          <w:rFonts w:ascii="Arial" w:hAnsi="Arial" w:cs="Arial"/>
          <w:szCs w:val="20"/>
        </w:rPr>
      </w:pPr>
    </w:p>
    <w:p w14:paraId="1072C824" w14:textId="77777777" w:rsidR="00564F85" w:rsidRPr="00AB30F0" w:rsidRDefault="00564F85" w:rsidP="00564F85">
      <w:pPr>
        <w:pStyle w:val="Bullet"/>
        <w:rPr>
          <w:rFonts w:ascii="Arial" w:hAnsi="Arial" w:cs="Arial"/>
        </w:rPr>
      </w:pPr>
      <w:r w:rsidRPr="00AB30F0">
        <w:rPr>
          <w:rFonts w:ascii="Arial" w:hAnsi="Arial" w:cs="Arial"/>
        </w:rPr>
        <w:t>Information</w:t>
      </w:r>
    </w:p>
    <w:p w14:paraId="1E74B95D" w14:textId="77777777" w:rsidR="00564F85" w:rsidRPr="00AB30F0" w:rsidRDefault="00564F85" w:rsidP="00564F85">
      <w:pPr>
        <w:pStyle w:val="Bullet0"/>
        <w:rPr>
          <w:rFonts w:ascii="Arial" w:hAnsi="Arial" w:cs="Arial"/>
        </w:rPr>
      </w:pPr>
      <w:r w:rsidRPr="00AB30F0">
        <w:rPr>
          <w:rFonts w:ascii="Arial" w:hAnsi="Arial" w:cs="Arial"/>
        </w:rPr>
        <w:t>Records</w:t>
      </w:r>
    </w:p>
    <w:p w14:paraId="7EF7E5AB" w14:textId="77777777" w:rsidR="00564F85" w:rsidRPr="00AB30F0" w:rsidRDefault="00564F85" w:rsidP="00564F85">
      <w:pPr>
        <w:pStyle w:val="Bullet1"/>
        <w:rPr>
          <w:rFonts w:ascii="Arial" w:hAnsi="Arial" w:cs="Arial"/>
        </w:rPr>
      </w:pPr>
      <w:r w:rsidRPr="00AB30F0">
        <w:rPr>
          <w:rFonts w:ascii="Arial" w:hAnsi="Arial" w:cs="Arial"/>
        </w:rPr>
        <w:t>All records required to be made by these standard rules shall:</w:t>
      </w:r>
    </w:p>
    <w:p w14:paraId="0732DCDE" w14:textId="77777777" w:rsidR="00564F85" w:rsidRPr="00AB30F0" w:rsidRDefault="00564F85" w:rsidP="00564F85">
      <w:pPr>
        <w:pStyle w:val="aBullet"/>
        <w:numPr>
          <w:ilvl w:val="3"/>
          <w:numId w:val="6"/>
        </w:numPr>
        <w:rPr>
          <w:rFonts w:ascii="Arial" w:hAnsi="Arial" w:cs="Arial"/>
        </w:rPr>
      </w:pPr>
      <w:r w:rsidRPr="00AB30F0">
        <w:rPr>
          <w:rFonts w:ascii="Arial" w:hAnsi="Arial" w:cs="Arial"/>
        </w:rPr>
        <w:t>be legible;</w:t>
      </w:r>
    </w:p>
    <w:p w14:paraId="454FDAFC" w14:textId="77777777" w:rsidR="00564F85" w:rsidRPr="00AB30F0" w:rsidRDefault="00564F85" w:rsidP="00564F85">
      <w:pPr>
        <w:pStyle w:val="aBullet"/>
        <w:numPr>
          <w:ilvl w:val="3"/>
          <w:numId w:val="6"/>
        </w:numPr>
        <w:rPr>
          <w:rFonts w:ascii="Arial" w:hAnsi="Arial" w:cs="Arial"/>
        </w:rPr>
      </w:pPr>
      <w:r w:rsidRPr="00AB30F0">
        <w:rPr>
          <w:rFonts w:ascii="Arial" w:hAnsi="Arial" w:cs="Arial"/>
        </w:rPr>
        <w:t>be made as soon as reasonably practicable;</w:t>
      </w:r>
    </w:p>
    <w:p w14:paraId="2390C114" w14:textId="77777777" w:rsidR="00564F85" w:rsidRPr="008C6303" w:rsidRDefault="00564F85" w:rsidP="00564F85">
      <w:pPr>
        <w:pStyle w:val="aBullet"/>
        <w:numPr>
          <w:ilvl w:val="3"/>
          <w:numId w:val="6"/>
        </w:numPr>
        <w:rPr>
          <w:rFonts w:ascii="Arial" w:hAnsi="Arial" w:cs="Arial"/>
        </w:rPr>
      </w:pPr>
      <w:r w:rsidRPr="00AB30F0">
        <w:rPr>
          <w:rFonts w:ascii="Arial" w:hAnsi="Arial" w:cs="Arial"/>
        </w:rPr>
        <w:t xml:space="preserve">if amended, be amended in such a way that the original and any subsequent amendments </w:t>
      </w:r>
      <w:r w:rsidRPr="008C6303">
        <w:rPr>
          <w:rFonts w:ascii="Arial" w:hAnsi="Arial" w:cs="Arial"/>
        </w:rPr>
        <w:t>remain legible, or are capable of retrieval; and</w:t>
      </w:r>
    </w:p>
    <w:p w14:paraId="034BD358" w14:textId="6F7101B7" w:rsidR="00564F85" w:rsidRPr="008C6303" w:rsidRDefault="00564F85" w:rsidP="00564F85">
      <w:pPr>
        <w:pStyle w:val="aBullet"/>
        <w:numPr>
          <w:ilvl w:val="3"/>
          <w:numId w:val="6"/>
        </w:numPr>
        <w:rPr>
          <w:rStyle w:val="Pink"/>
          <w:rFonts w:ascii="Arial" w:hAnsi="Arial" w:cs="Arial"/>
          <w:color w:val="auto"/>
        </w:rPr>
      </w:pPr>
      <w:r w:rsidRPr="008C6303">
        <w:rPr>
          <w:rFonts w:ascii="Arial" w:hAnsi="Arial" w:cs="Arial"/>
        </w:rPr>
        <w:t xml:space="preserve">be retained, unless otherwise agreed in writing by </w:t>
      </w:r>
      <w:r w:rsidR="00147003">
        <w:rPr>
          <w:rFonts w:ascii="Arial" w:hAnsi="Arial" w:cs="Arial"/>
        </w:rPr>
        <w:t>Natural Resources Wales</w:t>
      </w:r>
      <w:r w:rsidRPr="008C6303">
        <w:rPr>
          <w:rFonts w:ascii="Arial" w:hAnsi="Arial" w:cs="Arial"/>
        </w:rPr>
        <w:t xml:space="preserve">, for at least 6 years from the date when the records were made, </w:t>
      </w:r>
    </w:p>
    <w:p w14:paraId="0EF7777E" w14:textId="77777777" w:rsidR="00564F85" w:rsidRPr="008C6303" w:rsidRDefault="00564F85" w:rsidP="00564F85">
      <w:pPr>
        <w:pStyle w:val="Bullet1"/>
        <w:rPr>
          <w:rStyle w:val="Red"/>
          <w:rFonts w:ascii="Arial" w:hAnsi="Arial" w:cs="Arial"/>
          <w:color w:val="auto"/>
        </w:rPr>
      </w:pPr>
      <w:r w:rsidRPr="008C6303">
        <w:rPr>
          <w:rStyle w:val="Red"/>
          <w:rFonts w:ascii="Arial" w:hAnsi="Arial" w:cs="Arial"/>
          <w:color w:val="auto"/>
        </w:rPr>
        <w:t>The operator shall maintain convenient access, in either electronic or hard copy, to the records, plans and management system required to be maintained by this permit.</w:t>
      </w:r>
    </w:p>
    <w:p w14:paraId="46AFC9CF" w14:textId="77777777" w:rsidR="00564F85" w:rsidRPr="008C6303" w:rsidRDefault="00564F85" w:rsidP="00564F85">
      <w:pPr>
        <w:pStyle w:val="Bullet1"/>
        <w:rPr>
          <w:rStyle w:val="Red"/>
          <w:rFonts w:ascii="Arial" w:hAnsi="Arial" w:cs="Arial"/>
          <w:color w:val="auto"/>
        </w:rPr>
      </w:pPr>
      <w:r w:rsidRPr="008C6303">
        <w:rPr>
          <w:rStyle w:val="Red"/>
          <w:rFonts w:ascii="Arial" w:hAnsi="Arial" w:cs="Arial"/>
          <w:color w:val="auto"/>
        </w:rPr>
        <w:t>The operator shall maintain a record of the type and quantity of fuel used and the total annual hours of operation for each Generator.</w:t>
      </w:r>
    </w:p>
    <w:p w14:paraId="60DDDB0C" w14:textId="723CF1A3" w:rsidR="00564F85" w:rsidRDefault="00564F85" w:rsidP="00564F85">
      <w:pPr>
        <w:pStyle w:val="Bullet1"/>
        <w:rPr>
          <w:rStyle w:val="Red"/>
          <w:rFonts w:ascii="Arial" w:hAnsi="Arial" w:cs="Arial"/>
          <w:color w:val="auto"/>
        </w:rPr>
      </w:pPr>
      <w:r w:rsidRPr="008C6303">
        <w:rPr>
          <w:rStyle w:val="Red"/>
          <w:rFonts w:ascii="Arial" w:hAnsi="Arial" w:cs="Arial"/>
          <w:color w:val="auto"/>
        </w:rPr>
        <w:t>The operator shall maintain a record of any events of non-compliance and the measures taken to ensure compliance is restored in the shortest possible time</w:t>
      </w:r>
      <w:r w:rsidR="006E7686">
        <w:rPr>
          <w:rStyle w:val="Red"/>
          <w:rFonts w:ascii="Arial" w:hAnsi="Arial" w:cs="Arial"/>
          <w:color w:val="auto"/>
        </w:rPr>
        <w:t>.</w:t>
      </w:r>
    </w:p>
    <w:p w14:paraId="270EFC38" w14:textId="77777777" w:rsidR="006E7686" w:rsidRPr="008C6303" w:rsidRDefault="006E7686" w:rsidP="006E7686">
      <w:pPr>
        <w:pStyle w:val="Bullet1"/>
        <w:numPr>
          <w:ilvl w:val="0"/>
          <w:numId w:val="0"/>
        </w:numPr>
        <w:ind w:left="680"/>
        <w:rPr>
          <w:rStyle w:val="Red"/>
          <w:rFonts w:ascii="Arial" w:hAnsi="Arial" w:cs="Arial"/>
          <w:color w:val="auto"/>
        </w:rPr>
      </w:pPr>
    </w:p>
    <w:p w14:paraId="3A2934D3" w14:textId="77777777" w:rsidR="00564F85" w:rsidRPr="008C6303" w:rsidRDefault="00564F85" w:rsidP="00564F85">
      <w:pPr>
        <w:pStyle w:val="Bullet0"/>
        <w:rPr>
          <w:rFonts w:ascii="Arial" w:hAnsi="Arial" w:cs="Arial"/>
        </w:rPr>
      </w:pPr>
      <w:r w:rsidRPr="00AB30F0">
        <w:rPr>
          <w:rFonts w:ascii="Arial" w:hAnsi="Arial" w:cs="Arial"/>
        </w:rPr>
        <w:t>Reporting</w:t>
      </w:r>
    </w:p>
    <w:p w14:paraId="59DC57D8" w14:textId="2B1A0CC7" w:rsidR="00564F85" w:rsidRPr="008C6303" w:rsidRDefault="00564F85" w:rsidP="00564F85">
      <w:pPr>
        <w:pStyle w:val="Bullet1"/>
        <w:rPr>
          <w:rFonts w:ascii="Arial" w:hAnsi="Arial" w:cs="Arial"/>
        </w:rPr>
      </w:pPr>
      <w:r w:rsidRPr="008C6303">
        <w:rPr>
          <w:rFonts w:ascii="Arial" w:hAnsi="Arial" w:cs="Arial"/>
        </w:rPr>
        <w:t>The operator shall send all reports and notifications required by these standard rules to</w:t>
      </w:r>
      <w:r w:rsidR="008C6303" w:rsidRPr="008C6303">
        <w:rPr>
          <w:rFonts w:ascii="Arial" w:hAnsi="Arial" w:cs="Arial"/>
          <w:szCs w:val="20"/>
        </w:rPr>
        <w:t xml:space="preserve"> Natural Resources Wales</w:t>
      </w:r>
      <w:r w:rsidRPr="008C6303">
        <w:rPr>
          <w:rFonts w:ascii="Arial" w:hAnsi="Arial" w:cs="Arial"/>
        </w:rPr>
        <w:t xml:space="preserve"> using the contact details supplied in writing </w:t>
      </w:r>
      <w:r w:rsidR="008C6303" w:rsidRPr="008C6303">
        <w:rPr>
          <w:rFonts w:ascii="Arial" w:hAnsi="Arial" w:cs="Arial"/>
          <w:szCs w:val="20"/>
        </w:rPr>
        <w:t>Natural Resources Wales</w:t>
      </w:r>
      <w:r w:rsidRPr="008C6303">
        <w:rPr>
          <w:rFonts w:ascii="Arial" w:hAnsi="Arial" w:cs="Arial"/>
        </w:rPr>
        <w:t>.</w:t>
      </w:r>
    </w:p>
    <w:p w14:paraId="7522E776" w14:textId="2A099B6D" w:rsidR="00564F85" w:rsidRPr="006E7686" w:rsidRDefault="000D5ADB" w:rsidP="00564F85">
      <w:pPr>
        <w:pStyle w:val="Bullet1"/>
        <w:rPr>
          <w:rFonts w:ascii="Arial" w:hAnsi="Arial" w:cs="Arial"/>
        </w:rPr>
      </w:pPr>
      <w:r>
        <w:rPr>
          <w:rStyle w:val="Red"/>
          <w:rFonts w:ascii="Arial" w:hAnsi="Arial" w:cs="Arial"/>
          <w:color w:val="auto"/>
        </w:rPr>
        <w:t xml:space="preserve">Where monitoring is undertaken in accordance with </w:t>
      </w:r>
      <w:r w:rsidR="00564F85" w:rsidRPr="008C6303">
        <w:rPr>
          <w:rStyle w:val="Red"/>
          <w:rFonts w:ascii="Arial" w:hAnsi="Arial" w:cs="Arial"/>
          <w:color w:val="auto"/>
        </w:rPr>
        <w:t xml:space="preserve"> 3.2.</w:t>
      </w:r>
      <w:r>
        <w:rPr>
          <w:rStyle w:val="Red"/>
          <w:rFonts w:ascii="Arial" w:hAnsi="Arial" w:cs="Arial"/>
          <w:color w:val="auto"/>
        </w:rPr>
        <w:t>1</w:t>
      </w:r>
      <w:r w:rsidR="003906AD">
        <w:rPr>
          <w:rStyle w:val="Red"/>
          <w:rFonts w:ascii="Arial" w:hAnsi="Arial" w:cs="Arial"/>
          <w:color w:val="auto"/>
        </w:rPr>
        <w:t>, 3.2.2</w:t>
      </w:r>
      <w:r w:rsidR="002631EA">
        <w:rPr>
          <w:rStyle w:val="Red"/>
          <w:rFonts w:ascii="Arial" w:hAnsi="Arial" w:cs="Arial"/>
          <w:color w:val="auto"/>
        </w:rPr>
        <w:t xml:space="preserve"> </w:t>
      </w:r>
      <w:r w:rsidR="003906AD">
        <w:rPr>
          <w:rStyle w:val="Red"/>
          <w:rFonts w:ascii="Arial" w:hAnsi="Arial" w:cs="Arial"/>
          <w:color w:val="auto"/>
        </w:rPr>
        <w:t>and</w:t>
      </w:r>
      <w:r w:rsidR="00A35421">
        <w:rPr>
          <w:rStyle w:val="Red"/>
          <w:rFonts w:ascii="Arial" w:hAnsi="Arial" w:cs="Arial"/>
          <w:color w:val="auto"/>
        </w:rPr>
        <w:t>/or</w:t>
      </w:r>
      <w:r w:rsidR="003906AD">
        <w:rPr>
          <w:rStyle w:val="Red"/>
          <w:rFonts w:ascii="Arial" w:hAnsi="Arial" w:cs="Arial"/>
          <w:color w:val="auto"/>
        </w:rPr>
        <w:t xml:space="preserve"> 3.2.</w:t>
      </w:r>
      <w:r w:rsidR="002631EA">
        <w:rPr>
          <w:rStyle w:val="Red"/>
          <w:rFonts w:ascii="Arial" w:hAnsi="Arial" w:cs="Arial"/>
          <w:color w:val="auto"/>
        </w:rPr>
        <w:t>3</w:t>
      </w:r>
      <w:r w:rsidR="003906AD">
        <w:rPr>
          <w:rStyle w:val="Red"/>
          <w:rFonts w:ascii="Arial" w:hAnsi="Arial" w:cs="Arial"/>
          <w:color w:val="auto"/>
        </w:rPr>
        <w:t>,</w:t>
      </w:r>
      <w:r w:rsidR="00564F85" w:rsidRPr="008C6303">
        <w:rPr>
          <w:rStyle w:val="Red"/>
          <w:rFonts w:ascii="Arial" w:hAnsi="Arial" w:cs="Arial"/>
          <w:color w:val="auto"/>
        </w:rPr>
        <w:t xml:space="preserve"> the operator shall submit to </w:t>
      </w:r>
      <w:r w:rsidR="008C6303" w:rsidRPr="008C6303">
        <w:rPr>
          <w:rFonts w:ascii="Arial" w:hAnsi="Arial" w:cs="Arial"/>
          <w:szCs w:val="20"/>
        </w:rPr>
        <w:t>Natural Resources Wales</w:t>
      </w:r>
      <w:r>
        <w:rPr>
          <w:rFonts w:ascii="Arial" w:hAnsi="Arial" w:cs="Arial"/>
          <w:szCs w:val="20"/>
        </w:rPr>
        <w:t>,</w:t>
      </w:r>
      <w:r w:rsidR="008C6303" w:rsidRPr="008C6303">
        <w:rPr>
          <w:rStyle w:val="Red"/>
          <w:rFonts w:ascii="Arial" w:hAnsi="Arial" w:cs="Arial"/>
          <w:color w:val="auto"/>
        </w:rPr>
        <w:t xml:space="preserve"> </w:t>
      </w:r>
      <w:r w:rsidR="00564F85" w:rsidRPr="008C6303">
        <w:rPr>
          <w:rStyle w:val="Red"/>
          <w:rFonts w:ascii="Arial" w:hAnsi="Arial" w:cs="Arial"/>
          <w:color w:val="auto"/>
        </w:rPr>
        <w:t xml:space="preserve">using the form made available for the purpose, the information specified on the form relating </w:t>
      </w:r>
      <w:r>
        <w:rPr>
          <w:rStyle w:val="Red"/>
          <w:rFonts w:ascii="Arial" w:hAnsi="Arial" w:cs="Arial"/>
          <w:color w:val="auto"/>
        </w:rPr>
        <w:t>to that monitoring</w:t>
      </w:r>
      <w:r w:rsidR="00A35421" w:rsidRPr="00A35421">
        <w:rPr>
          <w:rFonts w:ascii="Arial" w:hAnsi="Arial" w:cs="Arial"/>
          <w:szCs w:val="20"/>
        </w:rPr>
        <w:t xml:space="preserve"> </w:t>
      </w:r>
      <w:r w:rsidR="00A35421">
        <w:rPr>
          <w:rFonts w:ascii="Arial" w:hAnsi="Arial" w:cs="Arial"/>
          <w:szCs w:val="20"/>
        </w:rPr>
        <w:t>within 28 days of undertaking the monitoring.</w:t>
      </w:r>
    </w:p>
    <w:p w14:paraId="52E9F722" w14:textId="77777777" w:rsidR="006E7686" w:rsidRPr="008C6303" w:rsidRDefault="006E7686" w:rsidP="006E7686">
      <w:pPr>
        <w:pStyle w:val="Bullet1"/>
        <w:numPr>
          <w:ilvl w:val="0"/>
          <w:numId w:val="0"/>
        </w:numPr>
        <w:ind w:left="680"/>
        <w:rPr>
          <w:rStyle w:val="Red"/>
          <w:rFonts w:ascii="Arial" w:hAnsi="Arial" w:cs="Arial"/>
          <w:color w:val="auto"/>
        </w:rPr>
      </w:pPr>
    </w:p>
    <w:p w14:paraId="57168C95" w14:textId="77777777" w:rsidR="00564F85" w:rsidRPr="00AB30F0" w:rsidRDefault="00564F85" w:rsidP="00564F85">
      <w:pPr>
        <w:pStyle w:val="Bullet0"/>
        <w:rPr>
          <w:rFonts w:ascii="Arial" w:hAnsi="Arial" w:cs="Arial"/>
        </w:rPr>
      </w:pPr>
      <w:r w:rsidRPr="00AB30F0">
        <w:rPr>
          <w:rFonts w:ascii="Arial" w:hAnsi="Arial" w:cs="Arial"/>
        </w:rPr>
        <w:t>Notifications</w:t>
      </w:r>
    </w:p>
    <w:p w14:paraId="171C0D91" w14:textId="77777777" w:rsidR="00564F85" w:rsidRPr="00AB30F0" w:rsidRDefault="00564F85" w:rsidP="00564F85">
      <w:pPr>
        <w:pStyle w:val="Bullet1"/>
        <w:numPr>
          <w:ilvl w:val="2"/>
          <w:numId w:val="2"/>
        </w:numPr>
        <w:rPr>
          <w:rFonts w:ascii="Arial" w:hAnsi="Arial" w:cs="Arial"/>
        </w:rPr>
      </w:pPr>
      <w:r w:rsidRPr="00AB30F0">
        <w:rPr>
          <w:rFonts w:ascii="Arial" w:hAnsi="Arial" w:cs="Arial"/>
        </w:rPr>
        <w:t>In the event:</w:t>
      </w:r>
    </w:p>
    <w:p w14:paraId="2A413A8F" w14:textId="597B98FB" w:rsidR="00564F85" w:rsidRPr="00AB30F0" w:rsidRDefault="00564F85" w:rsidP="00564F85">
      <w:pPr>
        <w:pStyle w:val="aBullet"/>
        <w:numPr>
          <w:ilvl w:val="3"/>
          <w:numId w:val="2"/>
        </w:numPr>
        <w:rPr>
          <w:rFonts w:ascii="Arial" w:hAnsi="Arial" w:cs="Arial"/>
        </w:rPr>
      </w:pPr>
      <w:r w:rsidRPr="00AB30F0">
        <w:rPr>
          <w:rFonts w:ascii="Arial" w:hAnsi="Arial" w:cs="Arial"/>
        </w:rPr>
        <w:t xml:space="preserve">of a breach of any permit </w:t>
      </w:r>
      <w:r w:rsidR="008C6303" w:rsidRPr="00AB30F0">
        <w:rPr>
          <w:rFonts w:ascii="Arial" w:hAnsi="Arial" w:cs="Arial"/>
        </w:rPr>
        <w:t>rule or</w:t>
      </w:r>
      <w:r w:rsidRPr="00AB30F0">
        <w:rPr>
          <w:rFonts w:ascii="Arial" w:hAnsi="Arial" w:cs="Arial"/>
        </w:rPr>
        <w:t xml:space="preserve"> Emission Limit Value the operator must immediately—</w:t>
      </w:r>
    </w:p>
    <w:p w14:paraId="23705359" w14:textId="6D7A653E" w:rsidR="00564F85" w:rsidRPr="00AB30F0" w:rsidRDefault="00564F85" w:rsidP="00564F85">
      <w:pPr>
        <w:pStyle w:val="aiBullet"/>
        <w:numPr>
          <w:ilvl w:val="4"/>
          <w:numId w:val="2"/>
        </w:numPr>
        <w:rPr>
          <w:rFonts w:ascii="Arial" w:hAnsi="Arial" w:cs="Arial"/>
        </w:rPr>
      </w:pPr>
      <w:r w:rsidRPr="00AB30F0">
        <w:rPr>
          <w:rFonts w:ascii="Arial" w:hAnsi="Arial" w:cs="Arial"/>
        </w:rPr>
        <w:t xml:space="preserve">inform </w:t>
      </w:r>
      <w:r w:rsidR="008C6303">
        <w:rPr>
          <w:rFonts w:ascii="Arial" w:hAnsi="Arial" w:cs="Arial"/>
          <w:szCs w:val="20"/>
        </w:rPr>
        <w:t>Natural Resources Wales</w:t>
      </w:r>
      <w:r w:rsidRPr="00AB30F0">
        <w:rPr>
          <w:rFonts w:ascii="Arial" w:hAnsi="Arial" w:cs="Arial"/>
        </w:rPr>
        <w:t>, and</w:t>
      </w:r>
    </w:p>
    <w:p w14:paraId="273A372E" w14:textId="77777777" w:rsidR="00564F85" w:rsidRPr="00AB30F0" w:rsidRDefault="00564F85" w:rsidP="00564F85">
      <w:pPr>
        <w:pStyle w:val="aiBullet"/>
        <w:numPr>
          <w:ilvl w:val="4"/>
          <w:numId w:val="2"/>
        </w:numPr>
        <w:rPr>
          <w:rFonts w:ascii="Arial" w:hAnsi="Arial" w:cs="Arial"/>
        </w:rPr>
      </w:pPr>
      <w:r w:rsidRPr="00AB30F0">
        <w:rPr>
          <w:rFonts w:ascii="Arial" w:hAnsi="Arial" w:cs="Arial"/>
        </w:rPr>
        <w:t>take the measures necessary to ensure that compliance is restored within the shortest possible time;</w:t>
      </w:r>
    </w:p>
    <w:p w14:paraId="7F639BE0" w14:textId="77777777" w:rsidR="00564F85" w:rsidRPr="00AB30F0" w:rsidRDefault="00564F85" w:rsidP="00564F85">
      <w:pPr>
        <w:pStyle w:val="aBullet"/>
        <w:numPr>
          <w:ilvl w:val="3"/>
          <w:numId w:val="2"/>
        </w:numPr>
        <w:rPr>
          <w:rFonts w:ascii="Arial" w:hAnsi="Arial" w:cs="Arial"/>
        </w:rPr>
      </w:pPr>
      <w:r w:rsidRPr="00AB30F0">
        <w:rPr>
          <w:rFonts w:ascii="Arial" w:hAnsi="Arial" w:cs="Arial"/>
        </w:rPr>
        <w:t>of a breach of a permit rule or Emission Limit Value which causes a significant degradation of local air quality, the operator must immediately suspend the operation of the activities or the relevant part of it until compliance with the permit rules has been restored.</w:t>
      </w:r>
    </w:p>
    <w:p w14:paraId="2B5FDB1C" w14:textId="77777777" w:rsidR="00564F85" w:rsidRPr="00AB30F0" w:rsidRDefault="00564F85" w:rsidP="00564F85">
      <w:pPr>
        <w:pStyle w:val="Bullet1"/>
        <w:numPr>
          <w:ilvl w:val="2"/>
          <w:numId w:val="6"/>
        </w:numPr>
        <w:rPr>
          <w:rFonts w:ascii="Arial" w:hAnsi="Arial" w:cs="Arial"/>
        </w:rPr>
      </w:pPr>
      <w:r w:rsidRPr="00AB30F0">
        <w:rPr>
          <w:rFonts w:ascii="Arial" w:hAnsi="Arial" w:cs="Arial"/>
        </w:rPr>
        <w:t>Any information provided under standard rule 4.3.1 shall be confirmed in writing within 24 hours.</w:t>
      </w:r>
    </w:p>
    <w:p w14:paraId="2415BF3D" w14:textId="041389BF" w:rsidR="003906AD" w:rsidRPr="00594712" w:rsidRDefault="003906AD" w:rsidP="003906AD">
      <w:pPr>
        <w:pStyle w:val="Bullet1"/>
        <w:numPr>
          <w:ilvl w:val="2"/>
          <w:numId w:val="6"/>
        </w:numPr>
        <w:rPr>
          <w:rFonts w:ascii="Arial" w:hAnsi="Arial" w:cs="Arial"/>
        </w:rPr>
      </w:pPr>
      <w:r>
        <w:rPr>
          <w:rFonts w:ascii="Arial" w:hAnsi="Arial" w:cs="Arial"/>
        </w:rPr>
        <w:t xml:space="preserve">Where </w:t>
      </w:r>
      <w:r w:rsidR="000E4F7E">
        <w:rPr>
          <w:rFonts w:ascii="Arial" w:hAnsi="Arial" w:cs="Arial"/>
        </w:rPr>
        <w:t>the operator is notified by Natural Resources Wales under rule 3.2.</w:t>
      </w:r>
      <w:r w:rsidR="002631EA">
        <w:rPr>
          <w:rFonts w:ascii="Arial" w:hAnsi="Arial" w:cs="Arial"/>
        </w:rPr>
        <w:t>2</w:t>
      </w:r>
      <w:r w:rsidR="000E4F7E">
        <w:rPr>
          <w:rFonts w:ascii="Arial" w:hAnsi="Arial" w:cs="Arial"/>
        </w:rPr>
        <w:t>, to undertake monitor</w:t>
      </w:r>
      <w:r w:rsidR="00DF185F">
        <w:rPr>
          <w:rFonts w:ascii="Arial" w:hAnsi="Arial" w:cs="Arial"/>
        </w:rPr>
        <w:t>ing at frequencies not</w:t>
      </w:r>
      <w:r w:rsidR="000E4F7E">
        <w:rPr>
          <w:rFonts w:ascii="Arial" w:hAnsi="Arial" w:cs="Arial"/>
        </w:rPr>
        <w:t xml:space="preserve"> </w:t>
      </w:r>
      <w:r w:rsidR="00DF185F">
        <w:rPr>
          <w:rFonts w:ascii="Arial" w:hAnsi="Arial" w:cs="Arial"/>
        </w:rPr>
        <w:t xml:space="preserve">otherwise </w:t>
      </w:r>
      <w:r w:rsidR="000E4F7E">
        <w:rPr>
          <w:rFonts w:ascii="Arial" w:hAnsi="Arial" w:cs="Arial"/>
        </w:rPr>
        <w:t xml:space="preserve">specified in </w:t>
      </w:r>
      <w:r w:rsidR="00DF7A3B">
        <w:rPr>
          <w:rFonts w:ascii="Arial" w:hAnsi="Arial" w:cs="Arial"/>
        </w:rPr>
        <w:t>condition 3.2.1</w:t>
      </w:r>
      <w:r w:rsidR="000E4F7E">
        <w:rPr>
          <w:rFonts w:ascii="Arial" w:hAnsi="Arial" w:cs="Arial"/>
        </w:rPr>
        <w:t>, the operator shall provide, at least 14 days prior to the monitoring being carried out, details of when the monitoring is to take place.</w:t>
      </w:r>
    </w:p>
    <w:p w14:paraId="63930204" w14:textId="3ACAF6C0" w:rsidR="003906AD" w:rsidRPr="008C6303" w:rsidRDefault="003906AD" w:rsidP="003906AD">
      <w:pPr>
        <w:pStyle w:val="Bullet1"/>
        <w:numPr>
          <w:ilvl w:val="2"/>
          <w:numId w:val="6"/>
        </w:numPr>
        <w:rPr>
          <w:rFonts w:ascii="Arial" w:hAnsi="Arial" w:cs="Arial"/>
        </w:rPr>
      </w:pPr>
      <w:r w:rsidRPr="008C6303">
        <w:rPr>
          <w:rFonts w:ascii="Arial" w:hAnsi="Arial" w:cs="Arial"/>
          <w:szCs w:val="20"/>
        </w:rPr>
        <w:t>Natural Resources Wales</w:t>
      </w:r>
      <w:r w:rsidRPr="008C6303">
        <w:rPr>
          <w:rFonts w:ascii="Arial" w:hAnsi="Arial" w:cs="Arial"/>
        </w:rPr>
        <w:t xml:space="preserve"> shall be notified within 14 days of the occurrence of the following matters, except where such disclosure is prohibited by Stock Exchange rules:</w:t>
      </w:r>
    </w:p>
    <w:p w14:paraId="19C13E61" w14:textId="77777777" w:rsidR="003906AD" w:rsidRPr="008C6303" w:rsidRDefault="003906AD" w:rsidP="003906AD">
      <w:pPr>
        <w:pStyle w:val="ListParagraph"/>
        <w:rPr>
          <w:rFonts w:ascii="Arial" w:hAnsi="Arial" w:cs="Arial"/>
        </w:rPr>
      </w:pPr>
      <w:r w:rsidRPr="008C6303">
        <w:rPr>
          <w:rFonts w:ascii="Arial" w:hAnsi="Arial" w:cs="Arial"/>
        </w:rPr>
        <w:t>Where the operator is a registered company:</w:t>
      </w:r>
    </w:p>
    <w:p w14:paraId="2582CA6F" w14:textId="77777777" w:rsidR="003906AD" w:rsidRPr="008C6303" w:rsidRDefault="003906AD" w:rsidP="003906AD">
      <w:pPr>
        <w:pStyle w:val="aBullet"/>
        <w:numPr>
          <w:ilvl w:val="3"/>
          <w:numId w:val="6"/>
        </w:numPr>
        <w:rPr>
          <w:rFonts w:ascii="Arial" w:hAnsi="Arial" w:cs="Arial"/>
        </w:rPr>
      </w:pPr>
      <w:r w:rsidRPr="008C6303">
        <w:rPr>
          <w:rFonts w:ascii="Arial" w:hAnsi="Arial" w:cs="Arial"/>
        </w:rPr>
        <w:t>any change in the operator’s trading name, registered name or registered office address; and</w:t>
      </w:r>
    </w:p>
    <w:p w14:paraId="259CCAD5" w14:textId="77777777" w:rsidR="003906AD" w:rsidRPr="008C6303" w:rsidRDefault="003906AD" w:rsidP="003906AD">
      <w:pPr>
        <w:pStyle w:val="aBullet"/>
        <w:numPr>
          <w:ilvl w:val="3"/>
          <w:numId w:val="6"/>
        </w:numPr>
        <w:rPr>
          <w:rFonts w:ascii="Arial" w:hAnsi="Arial" w:cs="Arial"/>
        </w:rPr>
      </w:pPr>
      <w:r w:rsidRPr="008C6303">
        <w:rPr>
          <w:rFonts w:ascii="Arial" w:hAnsi="Arial" w:cs="Arial"/>
        </w:rPr>
        <w:t>any steps taken with a view to the operator going into administration, entering into a company voluntary arrangement or being wound up.</w:t>
      </w:r>
    </w:p>
    <w:p w14:paraId="0B1E244D" w14:textId="77777777" w:rsidR="003906AD" w:rsidRPr="008C6303" w:rsidRDefault="003906AD" w:rsidP="003906AD">
      <w:pPr>
        <w:pStyle w:val="ListParagraph"/>
        <w:rPr>
          <w:rFonts w:ascii="Arial" w:hAnsi="Arial" w:cs="Arial"/>
        </w:rPr>
      </w:pPr>
      <w:r w:rsidRPr="008C6303">
        <w:rPr>
          <w:rFonts w:ascii="Arial" w:hAnsi="Arial" w:cs="Arial"/>
        </w:rPr>
        <w:t>Where the operator is a corporate body other than a registered company:</w:t>
      </w:r>
    </w:p>
    <w:p w14:paraId="1E634610" w14:textId="77777777" w:rsidR="003906AD" w:rsidRPr="008C6303" w:rsidRDefault="003906AD" w:rsidP="003906AD">
      <w:pPr>
        <w:pStyle w:val="aBullet"/>
        <w:numPr>
          <w:ilvl w:val="3"/>
          <w:numId w:val="10"/>
        </w:numPr>
        <w:rPr>
          <w:rFonts w:ascii="Arial" w:hAnsi="Arial" w:cs="Arial"/>
        </w:rPr>
      </w:pPr>
      <w:r w:rsidRPr="008C6303">
        <w:rPr>
          <w:rFonts w:ascii="Arial" w:hAnsi="Arial" w:cs="Arial"/>
        </w:rPr>
        <w:t>any change in the operator’s name or address; and</w:t>
      </w:r>
    </w:p>
    <w:p w14:paraId="61838E1B" w14:textId="77777777" w:rsidR="003906AD" w:rsidRPr="008C6303" w:rsidRDefault="003906AD" w:rsidP="003906AD">
      <w:pPr>
        <w:pStyle w:val="aBullet"/>
        <w:numPr>
          <w:ilvl w:val="3"/>
          <w:numId w:val="6"/>
        </w:numPr>
        <w:rPr>
          <w:rFonts w:ascii="Arial" w:hAnsi="Arial" w:cs="Arial"/>
        </w:rPr>
      </w:pPr>
      <w:r w:rsidRPr="008C6303">
        <w:rPr>
          <w:rFonts w:ascii="Arial" w:hAnsi="Arial" w:cs="Arial"/>
        </w:rPr>
        <w:t>any steps taken with a view to the dissolution of the operator.</w:t>
      </w:r>
    </w:p>
    <w:p w14:paraId="0EEF87CA" w14:textId="77777777" w:rsidR="003906AD" w:rsidRPr="008C6303" w:rsidRDefault="003906AD" w:rsidP="003906AD">
      <w:pPr>
        <w:pStyle w:val="ListParagraph"/>
        <w:rPr>
          <w:rStyle w:val="Red"/>
          <w:rFonts w:ascii="Arial" w:hAnsi="Arial" w:cs="Arial"/>
          <w:bCs/>
          <w:color w:val="auto"/>
        </w:rPr>
      </w:pPr>
      <w:r w:rsidRPr="008C6303">
        <w:rPr>
          <w:rStyle w:val="Red"/>
          <w:rFonts w:ascii="Arial" w:hAnsi="Arial" w:cs="Arial"/>
          <w:color w:val="auto"/>
        </w:rPr>
        <w:t xml:space="preserve">In any other case: </w:t>
      </w:r>
    </w:p>
    <w:p w14:paraId="16390C07" w14:textId="77777777" w:rsidR="003906AD" w:rsidRPr="008C6303" w:rsidRDefault="003906AD" w:rsidP="003906AD">
      <w:pPr>
        <w:pStyle w:val="aBullet"/>
        <w:numPr>
          <w:ilvl w:val="3"/>
          <w:numId w:val="11"/>
        </w:numPr>
        <w:rPr>
          <w:rStyle w:val="Red"/>
          <w:rFonts w:ascii="Arial" w:hAnsi="Arial" w:cs="Arial"/>
          <w:color w:val="auto"/>
        </w:rPr>
      </w:pPr>
      <w:r w:rsidRPr="008C6303">
        <w:rPr>
          <w:rStyle w:val="Red"/>
          <w:rFonts w:ascii="Arial" w:hAnsi="Arial" w:cs="Arial"/>
          <w:color w:val="auto"/>
        </w:rPr>
        <w:t>the death of any of the named operators (where the operator consists of more than one named individual);</w:t>
      </w:r>
    </w:p>
    <w:p w14:paraId="258F3280" w14:textId="77777777" w:rsidR="003906AD" w:rsidRPr="008C6303" w:rsidRDefault="003906AD" w:rsidP="003906AD">
      <w:pPr>
        <w:pStyle w:val="aBullet"/>
        <w:numPr>
          <w:ilvl w:val="3"/>
          <w:numId w:val="6"/>
        </w:numPr>
        <w:rPr>
          <w:rStyle w:val="Red"/>
          <w:rFonts w:ascii="Arial" w:hAnsi="Arial" w:cs="Arial"/>
          <w:color w:val="auto"/>
        </w:rPr>
      </w:pPr>
      <w:r w:rsidRPr="008C6303">
        <w:rPr>
          <w:rStyle w:val="Red"/>
          <w:rFonts w:ascii="Arial" w:hAnsi="Arial" w:cs="Arial"/>
          <w:color w:val="auto"/>
        </w:rPr>
        <w:t>any change in the operator’s name(s) or address(es); and</w:t>
      </w:r>
    </w:p>
    <w:p w14:paraId="019116B2" w14:textId="77777777" w:rsidR="003906AD" w:rsidRPr="008C6303" w:rsidRDefault="003906AD" w:rsidP="003906AD">
      <w:pPr>
        <w:pStyle w:val="aBullet"/>
        <w:numPr>
          <w:ilvl w:val="3"/>
          <w:numId w:val="6"/>
        </w:numPr>
        <w:rPr>
          <w:rStyle w:val="Red"/>
          <w:rFonts w:ascii="Arial" w:hAnsi="Arial" w:cs="Arial"/>
          <w:color w:val="auto"/>
        </w:rPr>
      </w:pPr>
      <w:r w:rsidRPr="008C6303">
        <w:rPr>
          <w:rStyle w:val="Red"/>
          <w:rFonts w:ascii="Arial" w:hAnsi="Arial" w:cs="Arial"/>
          <w:color w:val="auto"/>
        </w:rPr>
        <w:t>any steps taken with a view to the operator, or any one of them, going into bankruptcy, entering into a composition or arrangement with creditors, or, in the case of them being in a partnership, dissolving the partnership.</w:t>
      </w:r>
    </w:p>
    <w:p w14:paraId="5270237F" w14:textId="3E740BDA" w:rsidR="003906AD" w:rsidRDefault="003906AD" w:rsidP="003906AD">
      <w:pPr>
        <w:pStyle w:val="Bullet1"/>
        <w:rPr>
          <w:rStyle w:val="Red"/>
          <w:rFonts w:ascii="Arial" w:hAnsi="Arial" w:cs="Arial"/>
          <w:color w:val="auto"/>
        </w:rPr>
      </w:pPr>
      <w:r>
        <w:rPr>
          <w:rStyle w:val="Red"/>
          <w:rFonts w:ascii="Arial" w:hAnsi="Arial" w:cs="Arial"/>
          <w:color w:val="auto"/>
        </w:rPr>
        <w:t>The operator shall notify Natural Resources Wales</w:t>
      </w:r>
      <w:r w:rsidR="0041092D" w:rsidRPr="0041092D">
        <w:rPr>
          <w:rStyle w:val="Red"/>
          <w:rFonts w:ascii="Arial" w:hAnsi="Arial" w:cs="Arial"/>
          <w:color w:val="auto"/>
        </w:rPr>
        <w:t xml:space="preserve"> </w:t>
      </w:r>
      <w:r w:rsidR="0041092D">
        <w:rPr>
          <w:rStyle w:val="Red"/>
          <w:rFonts w:ascii="Arial" w:hAnsi="Arial" w:cs="Arial"/>
          <w:color w:val="auto"/>
        </w:rPr>
        <w:t>in writing</w:t>
      </w:r>
      <w:r>
        <w:rPr>
          <w:rStyle w:val="Red"/>
          <w:rFonts w:ascii="Arial" w:hAnsi="Arial" w:cs="Arial"/>
          <w:color w:val="auto"/>
        </w:rPr>
        <w:t>, as soon as is practicable, of any change of new medium combustion plant Annex I information.</w:t>
      </w:r>
    </w:p>
    <w:p w14:paraId="04F785B0" w14:textId="77777777" w:rsidR="00485A54" w:rsidRPr="003906AD" w:rsidRDefault="00485A54" w:rsidP="00485A54">
      <w:pPr>
        <w:pStyle w:val="Bullet1"/>
        <w:numPr>
          <w:ilvl w:val="0"/>
          <w:numId w:val="0"/>
        </w:numPr>
        <w:ind w:left="680"/>
        <w:rPr>
          <w:rStyle w:val="Red"/>
          <w:rFonts w:ascii="Arial" w:hAnsi="Arial" w:cs="Arial"/>
          <w:color w:val="auto"/>
        </w:rPr>
      </w:pPr>
    </w:p>
    <w:p w14:paraId="0EBF3935" w14:textId="77777777" w:rsidR="00564F85" w:rsidRPr="00AB30F0" w:rsidRDefault="00564F85" w:rsidP="00564F85">
      <w:pPr>
        <w:pStyle w:val="Bullet0"/>
        <w:rPr>
          <w:rFonts w:ascii="Arial" w:hAnsi="Arial" w:cs="Arial"/>
        </w:rPr>
      </w:pPr>
      <w:r w:rsidRPr="00AB30F0">
        <w:rPr>
          <w:rFonts w:ascii="Arial" w:hAnsi="Arial" w:cs="Arial"/>
        </w:rPr>
        <w:t>Interpretation</w:t>
      </w:r>
    </w:p>
    <w:p w14:paraId="59026771" w14:textId="73EEF2E6" w:rsidR="00564F85" w:rsidRPr="00AB30F0" w:rsidRDefault="00564F85" w:rsidP="00564F85">
      <w:pPr>
        <w:pStyle w:val="Bullet1"/>
        <w:rPr>
          <w:rFonts w:ascii="Arial" w:hAnsi="Arial" w:cs="Arial"/>
        </w:rPr>
      </w:pPr>
      <w:r w:rsidRPr="00AB30F0">
        <w:rPr>
          <w:rFonts w:ascii="Arial" w:hAnsi="Arial" w:cs="Arial"/>
        </w:rPr>
        <w:t xml:space="preserve">In these standard rules the expressions listed shall have the meaning given </w:t>
      </w:r>
      <w:r w:rsidR="00B22085">
        <w:rPr>
          <w:rFonts w:ascii="Arial" w:hAnsi="Arial" w:cs="Arial"/>
        </w:rPr>
        <w:t>below</w:t>
      </w:r>
      <w:r w:rsidRPr="00AB30F0">
        <w:rPr>
          <w:rFonts w:ascii="Arial" w:hAnsi="Arial" w:cs="Arial"/>
        </w:rPr>
        <w:t>.</w:t>
      </w:r>
    </w:p>
    <w:p w14:paraId="1607963F" w14:textId="30E9620F" w:rsidR="00BA3F1D" w:rsidRDefault="00564F85" w:rsidP="00960264">
      <w:pPr>
        <w:pStyle w:val="Bullet1"/>
      </w:pPr>
      <w:r w:rsidRPr="00AB30F0">
        <w:rPr>
          <w:rFonts w:ascii="Arial" w:hAnsi="Arial" w:cs="Arial"/>
        </w:rPr>
        <w:t>In these standard rules references to reports and notifications mean written reports and notifications, except where reference is made to notification being made immediately, in which case it may be provided by telephone.</w:t>
      </w:r>
    </w:p>
    <w:p w14:paraId="513F74BF" w14:textId="0463A0B6" w:rsidR="00564F85" w:rsidRPr="00AB30F0" w:rsidRDefault="00564F85" w:rsidP="00564F85">
      <w:pPr>
        <w:rPr>
          <w:rStyle w:val="Red"/>
          <w:rFonts w:cs="Arial"/>
        </w:rPr>
      </w:pPr>
    </w:p>
    <w:p w14:paraId="39859AA2" w14:textId="74818CA1" w:rsidR="008D2683" w:rsidRPr="002709E2" w:rsidRDefault="008D2683" w:rsidP="00960264">
      <w:pPr>
        <w:pStyle w:val="Bullet1"/>
        <w:numPr>
          <w:ilvl w:val="0"/>
          <w:numId w:val="0"/>
        </w:numPr>
        <w:ind w:left="680"/>
        <w:rPr>
          <w:rFonts w:ascii="Arial" w:hAnsi="Arial" w:cs="Arial"/>
        </w:rPr>
      </w:pPr>
      <w:bookmarkStart w:id="9" w:name="_Hlk54889617"/>
      <w:r w:rsidRPr="002709E2">
        <w:rPr>
          <w:rFonts w:ascii="Arial" w:hAnsi="Arial" w:cs="Arial"/>
        </w:rPr>
        <w:t>Accident</w:t>
      </w:r>
      <w:r>
        <w:rPr>
          <w:rFonts w:ascii="Arial" w:hAnsi="Arial" w:cs="Arial"/>
        </w:rPr>
        <w:t xml:space="preserve"> - </w:t>
      </w:r>
      <w:r w:rsidRPr="002709E2">
        <w:rPr>
          <w:rFonts w:ascii="Arial" w:hAnsi="Arial" w:cs="Arial"/>
        </w:rPr>
        <w:t xml:space="preserve">an accident that may result in </w:t>
      </w:r>
      <w:r w:rsidR="00DD2A32">
        <w:rPr>
          <w:rFonts w:ascii="Arial" w:hAnsi="Arial" w:cs="Arial"/>
        </w:rPr>
        <w:t>pollution.</w:t>
      </w:r>
    </w:p>
    <w:p w14:paraId="558A1610" w14:textId="71132166" w:rsidR="008D2683" w:rsidRPr="002709E2" w:rsidRDefault="008D2683" w:rsidP="00960264">
      <w:pPr>
        <w:pStyle w:val="Bullet1"/>
        <w:numPr>
          <w:ilvl w:val="0"/>
          <w:numId w:val="0"/>
        </w:numPr>
        <w:ind w:left="680"/>
        <w:rPr>
          <w:rFonts w:ascii="Arial" w:hAnsi="Arial" w:cs="Arial"/>
        </w:rPr>
      </w:pPr>
      <w:r w:rsidRPr="002709E2">
        <w:rPr>
          <w:rFonts w:ascii="Arial" w:hAnsi="Arial" w:cs="Arial"/>
        </w:rPr>
        <w:lastRenderedPageBreak/>
        <w:t>Annex I</w:t>
      </w:r>
      <w:r>
        <w:rPr>
          <w:rFonts w:ascii="Arial" w:hAnsi="Arial" w:cs="Arial"/>
        </w:rPr>
        <w:t xml:space="preserve"> - </w:t>
      </w:r>
      <w:r w:rsidRPr="002709E2">
        <w:rPr>
          <w:rFonts w:ascii="Arial" w:hAnsi="Arial" w:cs="Arial"/>
        </w:rPr>
        <w:t>Annex I of the EU Directive 2015/2193 on Medium Combustion Plant</w:t>
      </w:r>
      <w:r w:rsidR="00DD2A32">
        <w:rPr>
          <w:rFonts w:ascii="Arial" w:hAnsi="Arial" w:cs="Arial"/>
        </w:rPr>
        <w:t>.</w:t>
      </w:r>
    </w:p>
    <w:p w14:paraId="2D7D3C28" w14:textId="77777777" w:rsidR="008D2683" w:rsidRPr="00EC7CBF" w:rsidRDefault="008D2683" w:rsidP="00960264">
      <w:pPr>
        <w:pStyle w:val="Bullet1"/>
        <w:numPr>
          <w:ilvl w:val="0"/>
          <w:numId w:val="0"/>
        </w:numPr>
        <w:ind w:left="680"/>
        <w:rPr>
          <w:rFonts w:ascii="Arial" w:hAnsi="Arial" w:cs="Arial"/>
        </w:rPr>
      </w:pPr>
      <w:r w:rsidRPr="002631EA">
        <w:rPr>
          <w:rFonts w:ascii="Arial" w:hAnsi="Arial" w:cs="Arial"/>
        </w:rPr>
        <w:t>Annual background NO</w:t>
      </w:r>
      <w:r w:rsidRPr="002631EA">
        <w:rPr>
          <w:rFonts w:ascii="Arial" w:hAnsi="Arial" w:cs="Arial"/>
          <w:vertAlign w:val="subscript"/>
        </w:rPr>
        <w:t xml:space="preserve">2 </w:t>
      </w:r>
      <w:r w:rsidRPr="00EC7CBF">
        <w:rPr>
          <w:rFonts w:ascii="Arial" w:hAnsi="Arial" w:cs="Arial"/>
        </w:rPr>
        <w:t>Concentration - a representative value for the annual background concentration for NO</w:t>
      </w:r>
      <w:r w:rsidRPr="00EC7CBF">
        <w:rPr>
          <w:rFonts w:ascii="Arial" w:hAnsi="Arial" w:cs="Arial"/>
          <w:vertAlign w:val="subscript"/>
        </w:rPr>
        <w:t>2</w:t>
      </w:r>
      <w:r w:rsidRPr="00EC7CBF">
        <w:rPr>
          <w:rFonts w:ascii="Arial" w:hAnsi="Arial" w:cs="Arial"/>
        </w:rPr>
        <w:t xml:space="preserve"> at your location, calculated from Local Authority ambient monitoring or background maps produced by Defra: https://laqm.defra.gov.uk/review-and-assessment/tools/background-maps.html</w:t>
      </w:r>
    </w:p>
    <w:p w14:paraId="387983ED" w14:textId="77777777" w:rsidR="008D2683" w:rsidRPr="00EC7CBF" w:rsidRDefault="008D2683" w:rsidP="00960264">
      <w:pPr>
        <w:pStyle w:val="Bullet1"/>
        <w:numPr>
          <w:ilvl w:val="0"/>
          <w:numId w:val="0"/>
        </w:numPr>
        <w:ind w:left="680"/>
        <w:rPr>
          <w:rFonts w:ascii="Arial" w:hAnsi="Arial" w:cs="Arial"/>
        </w:rPr>
      </w:pPr>
      <w:r w:rsidRPr="00EC7CBF">
        <w:rPr>
          <w:rFonts w:ascii="Arial" w:hAnsi="Arial" w:cs="Arial"/>
        </w:rPr>
        <w:t>AQMA (Air quality management area) - is that defined in the Environment Act 1995, Part VI, 83.(1) as amended.</w:t>
      </w:r>
    </w:p>
    <w:p w14:paraId="28C6FA2F" w14:textId="789B18CB" w:rsidR="008D2683" w:rsidRPr="002631EA" w:rsidRDefault="008D2683" w:rsidP="00960264">
      <w:pPr>
        <w:pStyle w:val="Bullet1"/>
        <w:numPr>
          <w:ilvl w:val="0"/>
          <w:numId w:val="0"/>
        </w:numPr>
        <w:ind w:left="680"/>
        <w:rPr>
          <w:rFonts w:ascii="Arial" w:hAnsi="Arial" w:cs="Arial"/>
        </w:rPr>
      </w:pPr>
      <w:r w:rsidRPr="00EC7CBF">
        <w:rPr>
          <w:rFonts w:ascii="Arial" w:hAnsi="Arial" w:cs="Arial"/>
        </w:rPr>
        <w:t>Combined Heat &amp; Power (CHP) or Cogeneration - the simultaneous generation in one process of thermal energy and electrical or mechanical energy</w:t>
      </w:r>
      <w:r w:rsidR="00DD2A32">
        <w:rPr>
          <w:rFonts w:ascii="Arial" w:hAnsi="Arial" w:cs="Arial"/>
        </w:rPr>
        <w:t>.</w:t>
      </w:r>
      <w:r w:rsidRPr="002631EA">
        <w:rPr>
          <w:rFonts w:ascii="Arial" w:hAnsi="Arial" w:cs="Arial"/>
        </w:rPr>
        <w:t xml:space="preserve"> </w:t>
      </w:r>
    </w:p>
    <w:p w14:paraId="7478A3CE" w14:textId="671A577C" w:rsidR="008D2683" w:rsidRPr="002631EA" w:rsidRDefault="008D2683" w:rsidP="00960264">
      <w:pPr>
        <w:pStyle w:val="Bullet1"/>
        <w:numPr>
          <w:ilvl w:val="0"/>
          <w:numId w:val="0"/>
        </w:numPr>
        <w:ind w:left="680"/>
        <w:rPr>
          <w:rFonts w:ascii="Arial" w:hAnsi="Arial" w:cs="Arial"/>
        </w:rPr>
      </w:pPr>
      <w:r w:rsidRPr="00EC7CBF">
        <w:rPr>
          <w:rFonts w:ascii="Arial" w:hAnsi="Arial" w:cs="Arial"/>
        </w:rPr>
        <w:t>Environment Agency TGN M5 - Monitoring of Stack Emissions from Medium Combustion Plant and Specified Generators</w:t>
      </w:r>
      <w:r w:rsidR="00DD2A32">
        <w:rPr>
          <w:rFonts w:ascii="Arial" w:hAnsi="Arial" w:cs="Arial"/>
        </w:rPr>
        <w:t>.</w:t>
      </w:r>
    </w:p>
    <w:p w14:paraId="533101A8" w14:textId="77777777" w:rsidR="008D2683" w:rsidRPr="00EC7CBF" w:rsidRDefault="008D2683" w:rsidP="00960264">
      <w:pPr>
        <w:pStyle w:val="Bullet1"/>
        <w:numPr>
          <w:ilvl w:val="0"/>
          <w:numId w:val="0"/>
        </w:numPr>
        <w:ind w:left="680"/>
        <w:rPr>
          <w:rFonts w:ascii="Arial" w:hAnsi="Arial" w:cs="Arial"/>
        </w:rPr>
      </w:pPr>
      <w:r w:rsidRPr="00EC7CBF">
        <w:rPr>
          <w:rFonts w:ascii="Arial" w:hAnsi="Arial" w:cs="Arial"/>
        </w:rPr>
        <w:t>EP Regulations - The Environmental Permitting (England and Wales) Regulations SI 2016 No.675 and words and expressions used in this permit which are also used in the Regulations have the same meanings as in those Regulations.</w:t>
      </w:r>
    </w:p>
    <w:p w14:paraId="1A19728F" w14:textId="29DB8F6F" w:rsidR="008D2683" w:rsidRPr="002631EA" w:rsidRDefault="008D2683" w:rsidP="00960264">
      <w:pPr>
        <w:pStyle w:val="Bullet1"/>
        <w:numPr>
          <w:ilvl w:val="0"/>
          <w:numId w:val="0"/>
        </w:numPr>
        <w:ind w:left="680"/>
        <w:rPr>
          <w:rFonts w:ascii="Arial" w:hAnsi="Arial" w:cs="Arial"/>
        </w:rPr>
      </w:pPr>
      <w:r w:rsidRPr="00EC7CBF">
        <w:rPr>
          <w:rFonts w:ascii="Arial" w:hAnsi="Arial" w:cs="Arial"/>
        </w:rPr>
        <w:t>New Medium Combustion Plant - any single combustion plant with a rated thermal input equal to or greater than 1MWth and less than 50MWth and brought into operation on or after the 20/12/18</w:t>
      </w:r>
      <w:r w:rsidR="00DD2A32">
        <w:rPr>
          <w:rFonts w:ascii="Arial" w:hAnsi="Arial" w:cs="Arial"/>
        </w:rPr>
        <w:t>.</w:t>
      </w:r>
    </w:p>
    <w:p w14:paraId="79ECCEB2" w14:textId="63446949" w:rsidR="008D2683" w:rsidRPr="00DD2A32" w:rsidRDefault="008D2683" w:rsidP="00960264">
      <w:pPr>
        <w:pStyle w:val="Bullet1"/>
        <w:numPr>
          <w:ilvl w:val="0"/>
          <w:numId w:val="0"/>
        </w:numPr>
        <w:ind w:left="680"/>
        <w:rPr>
          <w:rFonts w:ascii="Arial" w:hAnsi="Arial" w:cs="Arial"/>
        </w:rPr>
      </w:pPr>
      <w:r w:rsidRPr="00EC7CBF">
        <w:rPr>
          <w:rFonts w:ascii="Arial" w:hAnsi="Arial" w:cs="Arial"/>
        </w:rPr>
        <w:t xml:space="preserve">Nearby buildings - </w:t>
      </w:r>
      <w:r w:rsidR="00EC7CBF" w:rsidRPr="00EC7CBF">
        <w:rPr>
          <w:rFonts w:ascii="Arial" w:hAnsi="Arial" w:cs="Arial"/>
        </w:rPr>
        <w:t xml:space="preserve">any buildings that are both within 5L of the stack, where L is the lowest of either the height of the building or the maximum projected width, and, have a building height that is more </w:t>
      </w:r>
      <w:r w:rsidR="00EC7CBF" w:rsidRPr="00DD2A32">
        <w:rPr>
          <w:rFonts w:ascii="Arial" w:hAnsi="Arial" w:cs="Arial"/>
        </w:rPr>
        <w:t>than 40% of the stack height</w:t>
      </w:r>
    </w:p>
    <w:p w14:paraId="0CC27515" w14:textId="77777777" w:rsidR="008D2683" w:rsidRPr="00DD2A32" w:rsidRDefault="008D2683" w:rsidP="00960264">
      <w:pPr>
        <w:pStyle w:val="Bullet1"/>
        <w:numPr>
          <w:ilvl w:val="0"/>
          <w:numId w:val="0"/>
        </w:numPr>
        <w:ind w:left="680"/>
        <w:rPr>
          <w:rFonts w:ascii="Arial" w:hAnsi="Arial" w:cs="Arial"/>
        </w:rPr>
      </w:pPr>
      <w:r w:rsidRPr="00DD2A32">
        <w:rPr>
          <w:rFonts w:ascii="Arial" w:hAnsi="Arial" w:cs="Arial"/>
        </w:rPr>
        <w:t>Quarter - a calendar year quarter commencing on 1 January, 1 April, 1 July or 1 October.</w:t>
      </w:r>
    </w:p>
    <w:p w14:paraId="1B126832" w14:textId="6F1C404C" w:rsidR="008D2683" w:rsidRPr="002631EA" w:rsidRDefault="008D2683" w:rsidP="00960264">
      <w:pPr>
        <w:pStyle w:val="Bullet1"/>
        <w:numPr>
          <w:ilvl w:val="0"/>
          <w:numId w:val="0"/>
        </w:numPr>
        <w:ind w:left="680"/>
        <w:rPr>
          <w:rFonts w:ascii="Arial" w:hAnsi="Arial" w:cs="Arial"/>
        </w:rPr>
      </w:pPr>
      <w:r w:rsidRPr="00DD2A32">
        <w:rPr>
          <w:rFonts w:ascii="Arial" w:hAnsi="Arial" w:cs="Arial"/>
        </w:rPr>
        <w:t>SAC, SPA, Ramsar or SSSI - Special Areas of Conservation, Special Protection Areas, Ramsar Sites and Sites of Special Scientific Interest are Habitats sites</w:t>
      </w:r>
      <w:r w:rsidR="00DD2A32">
        <w:rPr>
          <w:rFonts w:ascii="Arial" w:hAnsi="Arial" w:cs="Arial"/>
        </w:rPr>
        <w:t>.</w:t>
      </w:r>
    </w:p>
    <w:p w14:paraId="2C33F72B" w14:textId="77777777" w:rsidR="008D2683" w:rsidRPr="00F813D9" w:rsidRDefault="008D2683" w:rsidP="008D2683">
      <w:pPr>
        <w:pStyle w:val="Bullet1"/>
        <w:numPr>
          <w:ilvl w:val="0"/>
          <w:numId w:val="0"/>
        </w:numPr>
        <w:ind w:left="680"/>
        <w:rPr>
          <w:rFonts w:ascii="Arial" w:hAnsi="Arial" w:cs="Arial"/>
        </w:rPr>
      </w:pPr>
      <w:r w:rsidRPr="00F813D9">
        <w:rPr>
          <w:rFonts w:ascii="Arial" w:hAnsi="Arial" w:cs="Arial"/>
        </w:rPr>
        <w:t>Sensitive Human Receptors - Locations where there is relevant public exposure. Relevant public exposure is where members of the public have access, are regularly present and can be exposed for a significant portion of the averaging time of the standard. The standards do not apply where health and safety at work provisions exist and where members of the public do not have access.</w:t>
      </w:r>
    </w:p>
    <w:p w14:paraId="609DFE84" w14:textId="77777777" w:rsidR="008D2683" w:rsidRPr="002709E2" w:rsidRDefault="008D2683" w:rsidP="00960264">
      <w:pPr>
        <w:pStyle w:val="Bullet1"/>
        <w:numPr>
          <w:ilvl w:val="0"/>
          <w:numId w:val="0"/>
        </w:numPr>
        <w:ind w:left="680"/>
        <w:rPr>
          <w:rFonts w:ascii="Arial" w:hAnsi="Arial" w:cs="Arial"/>
        </w:rPr>
      </w:pPr>
      <w:r w:rsidRPr="00F813D9">
        <w:rPr>
          <w:rFonts w:ascii="Arial" w:hAnsi="Arial" w:cs="Arial"/>
        </w:rPr>
        <w:t>Year – calendar year ending 31 December.</w:t>
      </w:r>
      <w:r>
        <w:rPr>
          <w:rFonts w:ascii="Arial" w:hAnsi="Arial" w:cs="Arial"/>
        </w:rPr>
        <w:t xml:space="preserve"> </w:t>
      </w:r>
    </w:p>
    <w:bookmarkEnd w:id="9"/>
    <w:p w14:paraId="0A6EA7F2" w14:textId="77777777" w:rsidR="00564F85" w:rsidRPr="00AB30F0" w:rsidRDefault="00564F85" w:rsidP="00564F85">
      <w:pPr>
        <w:rPr>
          <w:rStyle w:val="Red"/>
          <w:rFonts w:cs="Arial"/>
        </w:rPr>
      </w:pPr>
    </w:p>
    <w:p w14:paraId="522D993F" w14:textId="77777777" w:rsidR="00564F85" w:rsidRPr="00AB30F0" w:rsidRDefault="00564F85" w:rsidP="00564F85">
      <w:pPr>
        <w:rPr>
          <w:rStyle w:val="Bold"/>
          <w:rFonts w:cs="Arial"/>
        </w:rPr>
      </w:pPr>
      <w:r w:rsidRPr="00AB30F0">
        <w:rPr>
          <w:rStyle w:val="Bold"/>
          <w:rFonts w:cs="Arial"/>
        </w:rPr>
        <w:t>End of standard rules</w:t>
      </w:r>
    </w:p>
    <w:sectPr w:rsidR="00564F85" w:rsidRPr="00AB30F0" w:rsidSect="00B96E34">
      <w:headerReference w:type="default" r:id="rId15"/>
      <w:footerReference w:type="default" r:id="rId16"/>
      <w:headerReference w:type="first" r:id="rId17"/>
      <w:footerReference w:type="first" r:id="rId18"/>
      <w:pgSz w:w="11920" w:h="16840"/>
      <w:pgMar w:top="1418"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80EFE" w14:textId="77777777" w:rsidR="002A22B2" w:rsidRDefault="002A22B2">
      <w:r>
        <w:separator/>
      </w:r>
    </w:p>
  </w:endnote>
  <w:endnote w:type="continuationSeparator" w:id="0">
    <w:p w14:paraId="6A7A8A6C" w14:textId="77777777" w:rsidR="002A22B2" w:rsidRDefault="002A22B2">
      <w:r>
        <w:continuationSeparator/>
      </w:r>
    </w:p>
  </w:endnote>
  <w:endnote w:type="continuationNotice" w:id="1">
    <w:p w14:paraId="5145CD4F" w14:textId="77777777" w:rsidR="002A22B2" w:rsidRDefault="002A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CE112" w14:textId="77CB018A" w:rsidR="001B5D84" w:rsidRDefault="001B5D84" w:rsidP="00B96E34">
    <w:pPr>
      <w:pStyle w:val="Footer"/>
    </w:pPr>
    <w:r w:rsidRPr="00D63B4A">
      <w:t>SR20</w:t>
    </w:r>
    <w:r w:rsidRPr="00D63B4A">
      <w:rPr>
        <w:rStyle w:val="Red"/>
        <w:color w:val="auto"/>
      </w:rPr>
      <w:t>18</w:t>
    </w:r>
    <w:r w:rsidRPr="00D63B4A">
      <w:t xml:space="preserve"> No</w:t>
    </w:r>
    <w:r w:rsidRPr="00D63B4A">
      <w:rPr>
        <w:rStyle w:val="Red"/>
        <w:color w:val="auto"/>
      </w:rPr>
      <w:t>2</w:t>
    </w:r>
    <w:r w:rsidRPr="00D63B4A">
      <w:t xml:space="preserve"> v</w:t>
    </w:r>
    <w:r w:rsidR="00A13DBD">
      <w:rPr>
        <w:rStyle w:val="Red"/>
        <w:color w:val="auto"/>
      </w:rPr>
      <w:t>5</w:t>
    </w:r>
    <w:r w:rsidRPr="00D63B4A">
      <w:ptab w:relativeTo="margin" w:alignment="right" w:leader="none"/>
    </w:r>
    <w:sdt>
      <w:sdtPr>
        <w:id w:val="-193026123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54FA" w14:textId="18C9C7C4" w:rsidR="001B5D84" w:rsidRPr="00960BFC" w:rsidRDefault="001B5D84" w:rsidP="00960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B5AA" w14:textId="10015E82" w:rsidR="001B5D84" w:rsidRPr="00960BFC" w:rsidRDefault="001B5D84" w:rsidP="0096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6DE5B" w14:textId="77777777" w:rsidR="002A22B2" w:rsidRDefault="002A22B2">
      <w:r>
        <w:separator/>
      </w:r>
    </w:p>
  </w:footnote>
  <w:footnote w:type="continuationSeparator" w:id="0">
    <w:p w14:paraId="50656A36" w14:textId="77777777" w:rsidR="002A22B2" w:rsidRDefault="002A22B2">
      <w:r>
        <w:continuationSeparator/>
      </w:r>
    </w:p>
  </w:footnote>
  <w:footnote w:type="continuationNotice" w:id="1">
    <w:p w14:paraId="212BAF25" w14:textId="77777777" w:rsidR="002A22B2" w:rsidRDefault="002A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DB43" w14:textId="76FF3BD9" w:rsidR="00A25CD8" w:rsidRDefault="00A25CD8" w:rsidP="00A25CD8">
    <w:pPr>
      <w:pStyle w:val="Header"/>
      <w:jc w:val="right"/>
    </w:pPr>
    <w:r w:rsidRPr="00AB30F0">
      <w:rPr>
        <w:rFonts w:cs="Arial"/>
        <w:noProof/>
        <w:sz w:val="20"/>
      </w:rPr>
      <w:drawing>
        <wp:inline distT="0" distB="0" distL="0" distR="0" wp14:anchorId="38A7E43A" wp14:editId="5A81F1E8">
          <wp:extent cx="1852280" cy="1318438"/>
          <wp:effectExtent l="0" t="0" r="0" b="0"/>
          <wp:docPr id="9" name="Picture 4" descr="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2280" cy="131843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BEA2" w14:textId="77777777" w:rsidR="001B5D84" w:rsidRDefault="001B5D84" w:rsidP="00B96E34">
    <w:pPr>
      <w:pStyle w:val="Header"/>
    </w:pPr>
  </w:p>
  <w:p w14:paraId="654535AD" w14:textId="77777777" w:rsidR="001B5D84" w:rsidRDefault="001B5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BE6D" w14:textId="77777777" w:rsidR="001B5D84" w:rsidRDefault="001B5D84" w:rsidP="00B96E34">
    <w:pPr>
      <w:pStyle w:val="Header"/>
    </w:pPr>
  </w:p>
  <w:p w14:paraId="554C118C" w14:textId="77777777" w:rsidR="001B5D84" w:rsidRDefault="001B5D84">
    <w:pPr>
      <w:pStyle w:val="Header"/>
    </w:pPr>
  </w:p>
  <w:p w14:paraId="6249F94E" w14:textId="77777777" w:rsidR="001B5D84" w:rsidRDefault="001B5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1BA2"/>
    <w:multiLevelType w:val="hybridMultilevel"/>
    <w:tmpl w:val="A8AC60C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1" w15:restartNumberingAfterBreak="0">
    <w:nsid w:val="1ECE6EC6"/>
    <w:multiLevelType w:val="multilevel"/>
    <w:tmpl w:val="02ACC1A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Letter"/>
      <w:lvlText w:val="(%4)"/>
      <w:lvlJc w:val="left"/>
      <w:pPr>
        <w:tabs>
          <w:tab w:val="num" w:pos="1164"/>
        </w:tabs>
        <w:ind w:left="1164" w:hanging="454"/>
      </w:pPr>
      <w:rPr>
        <w:rFonts w:hint="default"/>
      </w:rPr>
    </w:lvl>
    <w:lvl w:ilvl="4">
      <w:start w:val="1"/>
      <w:numFmt w:val="lowerRoman"/>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174212"/>
    <w:multiLevelType w:val="multilevel"/>
    <w:tmpl w:val="55C835B8"/>
    <w:numStyleLink w:val="EATableBullets"/>
  </w:abstractNum>
  <w:abstractNum w:abstractNumId="3" w15:restartNumberingAfterBreak="0">
    <w:nsid w:val="29C11384"/>
    <w:multiLevelType w:val="multilevel"/>
    <w:tmpl w:val="55C835B8"/>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Theme="minorHAnsi" w:hAnsi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583701"/>
    <w:multiLevelType w:val="hybridMultilevel"/>
    <w:tmpl w:val="BCCA095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437C1CDC"/>
    <w:multiLevelType w:val="multilevel"/>
    <w:tmpl w:val="71A2B7D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D473BC"/>
    <w:multiLevelType w:val="multilevel"/>
    <w:tmpl w:val="C6204CDC"/>
    <w:styleLink w:val="EANumBullets"/>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64"/>
        </w:tabs>
        <w:ind w:left="116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CEE36C8"/>
    <w:multiLevelType w:val="hybridMultilevel"/>
    <w:tmpl w:val="160C23BA"/>
    <w:lvl w:ilvl="0" w:tplc="A90A94E0">
      <w:start w:val="1"/>
      <w:numFmt w:val="bullet"/>
      <w:pStyle w:val="Bullets"/>
      <w:lvlText w:val=""/>
      <w:lvlJc w:val="left"/>
      <w:pPr>
        <w:ind w:left="720" w:hanging="360"/>
      </w:pPr>
      <w:rPr>
        <w:rFonts w:ascii="Symbol" w:hAnsi="Symbol" w:hint="default"/>
        <w:color w:val="0055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116A1"/>
    <w:multiLevelType w:val="hybridMultilevel"/>
    <w:tmpl w:val="F9A4CB28"/>
    <w:lvl w:ilvl="0" w:tplc="90801244">
      <w:start w:val="2"/>
      <w:numFmt w:val="bullet"/>
      <w:lvlText w:val="-"/>
      <w:lvlJc w:val="left"/>
      <w:pPr>
        <w:ind w:left="445" w:hanging="360"/>
      </w:pPr>
      <w:rPr>
        <w:rFonts w:ascii="Arial" w:eastAsia="Times New Roman" w:hAnsi="Arial" w:cs="Arial" w:hint="default"/>
        <w:color w:val="00B050"/>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num w:numId="1">
    <w:abstractNumId w:val="6"/>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color w:val="auto"/>
        </w:rPr>
      </w:lvl>
    </w:lvlOverride>
    <w:lvlOverride w:ilvl="3">
      <w:lvl w:ilvl="3">
        <w:start w:val="1"/>
        <w:numFmt w:val="lowerLetter"/>
        <w:pStyle w:val="aBullet"/>
        <w:lvlText w:val="(%4)"/>
        <w:lvlJc w:val="left"/>
        <w:pPr>
          <w:tabs>
            <w:tab w:val="num" w:pos="1164"/>
          </w:tabs>
          <w:ind w:left="116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lvl w:ilvl="0">
        <w:start w:val="1"/>
        <w:numFmt w:val="lowerLetter"/>
        <w:pStyle w:val="AlphaBulletL1"/>
        <w:lvlText w:val="(%1)"/>
        <w:lvlJc w:val="left"/>
        <w:pPr>
          <w:tabs>
            <w:tab w:val="num" w:pos="340"/>
          </w:tabs>
          <w:ind w:left="340" w:hanging="340"/>
        </w:pPr>
        <w:rPr>
          <w:rFonts w:hint="default"/>
        </w:rPr>
      </w:lvl>
    </w:lvlOverride>
  </w:num>
  <w:num w:numId="5">
    <w:abstractNumId w:val="2"/>
    <w:lvlOverride w:ilvl="1">
      <w:lvl w:ilvl="1">
        <w:start w:val="1"/>
        <w:numFmt w:val="lowerLetter"/>
        <w:pStyle w:val="TableBulletL2"/>
        <w:lvlText w:val="(%2)"/>
        <w:lvlJc w:val="left"/>
        <w:pPr>
          <w:tabs>
            <w:tab w:val="num" w:pos="879"/>
          </w:tabs>
          <w:ind w:left="879" w:hanging="454"/>
        </w:pPr>
        <w:rPr>
          <w:rFonts w:hint="default"/>
          <w:color w:val="auto"/>
        </w:rPr>
      </w:lvl>
    </w:lvlOverride>
  </w:num>
  <w:num w:numId="6">
    <w:abstractNumId w:val="6"/>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color w:val="auto"/>
        </w:rPr>
      </w:lvl>
    </w:lvlOverride>
    <w:lvlOverride w:ilvl="3">
      <w:lvl w:ilvl="3">
        <w:start w:val="1"/>
        <w:numFmt w:val="lowerLetter"/>
        <w:pStyle w:val="aBullet"/>
        <w:lvlText w:val="(%4)"/>
        <w:lvlJc w:val="left"/>
        <w:pPr>
          <w:tabs>
            <w:tab w:val="num" w:pos="1163"/>
          </w:tabs>
          <w:ind w:left="1163" w:hanging="454"/>
        </w:pPr>
        <w:rPr>
          <w:rFonts w:hint="default"/>
          <w:color w:val="auto"/>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6"/>
  </w:num>
  <w:num w:numId="8">
    <w:abstractNumId w:val="8"/>
  </w:num>
  <w:num w:numId="9">
    <w:abstractNumId w:val="5"/>
  </w:num>
  <w:num w:numId="10">
    <w:abstractNumId w:val="6"/>
    <w:lvlOverride w:ilvl="0">
      <w:startOverride w:val="1"/>
      <w:lvl w:ilvl="0">
        <w:start w:val="1"/>
        <w:numFmt w:val="decimal"/>
        <w:pStyle w:val="Bullet"/>
        <w:lvlText w:val="%1"/>
        <w:lvlJc w:val="left"/>
        <w:pPr>
          <w:tabs>
            <w:tab w:val="num" w:pos="680"/>
          </w:tabs>
          <w:ind w:left="680" w:hanging="680"/>
        </w:pPr>
        <w:rPr>
          <w:rFonts w:hint="default"/>
        </w:rPr>
      </w:lvl>
    </w:lvlOverride>
    <w:lvlOverride w:ilvl="1">
      <w:startOverride w:val="1"/>
      <w:lvl w:ilvl="1">
        <w:start w:val="1"/>
        <w:numFmt w:val="decimal"/>
        <w:pStyle w:val="Bullet0"/>
        <w:lvlText w:val="%1.%2"/>
        <w:lvlJc w:val="left"/>
        <w:pPr>
          <w:tabs>
            <w:tab w:val="num" w:pos="680"/>
          </w:tabs>
          <w:ind w:left="680" w:hanging="680"/>
        </w:pPr>
        <w:rPr>
          <w:rFonts w:hint="default"/>
        </w:rPr>
      </w:lvl>
    </w:lvlOverride>
    <w:lvlOverride w:ilvl="2">
      <w:startOverride w:val="1"/>
      <w:lvl w:ilvl="2">
        <w:start w:val="1"/>
        <w:numFmt w:val="decimal"/>
        <w:pStyle w:val="Bullet1"/>
        <w:lvlText w:val="%1.%2.%3"/>
        <w:lvlJc w:val="left"/>
        <w:pPr>
          <w:tabs>
            <w:tab w:val="num" w:pos="680"/>
          </w:tabs>
          <w:ind w:left="680" w:hanging="680"/>
        </w:pPr>
        <w:rPr>
          <w:color w:val="auto"/>
        </w:rPr>
      </w:lvl>
    </w:lvlOverride>
    <w:lvlOverride w:ilvl="3">
      <w:startOverride w:val="1"/>
      <w:lvl w:ilvl="3">
        <w:start w:val="1"/>
        <w:numFmt w:val="lowerLetter"/>
        <w:pStyle w:val="aBullet"/>
        <w:lvlText w:val="(%4)"/>
        <w:lvlJc w:val="left"/>
        <w:pPr>
          <w:tabs>
            <w:tab w:val="num" w:pos="1163"/>
          </w:tabs>
          <w:ind w:left="1163" w:hanging="454"/>
        </w:pPr>
        <w:rPr>
          <w:rFonts w:hint="default"/>
          <w:color w:val="auto"/>
        </w:rPr>
      </w:lvl>
    </w:lvlOverride>
    <w:lvlOverride w:ilvl="4">
      <w:startOverride w:val="1"/>
      <w:lvl w:ilvl="4">
        <w:start w:val="1"/>
        <w:numFmt w:val="lowerRoman"/>
        <w:pStyle w:val="aiBullet"/>
        <w:lvlText w:val="(%5)"/>
        <w:lvlJc w:val="left"/>
        <w:pPr>
          <w:tabs>
            <w:tab w:val="num" w:pos="1588"/>
          </w:tabs>
          <w:ind w:left="1588" w:hanging="454"/>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11">
    <w:abstractNumId w:val="6"/>
    <w:lvlOverride w:ilvl="0">
      <w:startOverride w:val="1"/>
      <w:lvl w:ilvl="0">
        <w:start w:val="1"/>
        <w:numFmt w:val="decimal"/>
        <w:pStyle w:val="Bullet"/>
        <w:lvlText w:val="%1"/>
        <w:lvlJc w:val="left"/>
        <w:pPr>
          <w:tabs>
            <w:tab w:val="num" w:pos="680"/>
          </w:tabs>
          <w:ind w:left="680" w:hanging="680"/>
        </w:pPr>
        <w:rPr>
          <w:rFonts w:hint="default"/>
        </w:rPr>
      </w:lvl>
    </w:lvlOverride>
    <w:lvlOverride w:ilvl="1">
      <w:startOverride w:val="1"/>
      <w:lvl w:ilvl="1">
        <w:start w:val="1"/>
        <w:numFmt w:val="decimal"/>
        <w:pStyle w:val="Bullet0"/>
        <w:lvlText w:val="%1.%2"/>
        <w:lvlJc w:val="left"/>
        <w:pPr>
          <w:tabs>
            <w:tab w:val="num" w:pos="680"/>
          </w:tabs>
          <w:ind w:left="680" w:hanging="680"/>
        </w:pPr>
        <w:rPr>
          <w:rFonts w:hint="default"/>
        </w:rPr>
      </w:lvl>
    </w:lvlOverride>
    <w:lvlOverride w:ilvl="2">
      <w:startOverride w:val="1"/>
      <w:lvl w:ilvl="2">
        <w:start w:val="1"/>
        <w:numFmt w:val="decimal"/>
        <w:pStyle w:val="Bullet1"/>
        <w:lvlText w:val="%1.%2.%3"/>
        <w:lvlJc w:val="left"/>
        <w:pPr>
          <w:tabs>
            <w:tab w:val="num" w:pos="680"/>
          </w:tabs>
          <w:ind w:left="680" w:hanging="680"/>
        </w:pPr>
        <w:rPr>
          <w:color w:val="auto"/>
        </w:rPr>
      </w:lvl>
    </w:lvlOverride>
    <w:lvlOverride w:ilvl="3">
      <w:startOverride w:val="1"/>
      <w:lvl w:ilvl="3">
        <w:start w:val="1"/>
        <w:numFmt w:val="lowerLetter"/>
        <w:pStyle w:val="aBullet"/>
        <w:lvlText w:val="(%4)"/>
        <w:lvlJc w:val="left"/>
        <w:pPr>
          <w:tabs>
            <w:tab w:val="num" w:pos="1163"/>
          </w:tabs>
          <w:ind w:left="1163" w:hanging="454"/>
        </w:pPr>
        <w:rPr>
          <w:rFonts w:hint="default"/>
          <w:color w:val="auto"/>
        </w:rPr>
      </w:lvl>
    </w:lvlOverride>
    <w:lvlOverride w:ilvl="4">
      <w:startOverride w:val="1"/>
      <w:lvl w:ilvl="4">
        <w:start w:val="1"/>
        <w:numFmt w:val="lowerRoman"/>
        <w:pStyle w:val="aiBullet"/>
        <w:lvlText w:val="(%5)"/>
        <w:lvlJc w:val="left"/>
        <w:pPr>
          <w:tabs>
            <w:tab w:val="num" w:pos="1588"/>
          </w:tabs>
          <w:ind w:left="1588" w:hanging="454"/>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12">
    <w:abstractNumId w:val="2"/>
    <w:lvlOverride w:ilvl="1">
      <w:lvl w:ilvl="1">
        <w:start w:val="1"/>
        <w:numFmt w:val="lowerLetter"/>
        <w:pStyle w:val="TableBulletL2"/>
        <w:lvlText w:val="(%2)"/>
        <w:lvlJc w:val="left"/>
        <w:pPr>
          <w:tabs>
            <w:tab w:val="num" w:pos="879"/>
          </w:tabs>
          <w:ind w:left="879" w:hanging="454"/>
        </w:pPr>
        <w:rPr>
          <w:rFonts w:hint="default"/>
          <w:color w:val="auto"/>
        </w:rPr>
      </w:lvl>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2"/>
  </w:num>
  <w:num w:numId="17">
    <w:abstractNumId w:val="4"/>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85"/>
    <w:rsid w:val="00010CCA"/>
    <w:rsid w:val="00013CA0"/>
    <w:rsid w:val="00017FD5"/>
    <w:rsid w:val="00036624"/>
    <w:rsid w:val="000852D0"/>
    <w:rsid w:val="000C7779"/>
    <w:rsid w:val="000D5ADB"/>
    <w:rsid w:val="000E23F9"/>
    <w:rsid w:val="000E4F7E"/>
    <w:rsid w:val="000E50DC"/>
    <w:rsid w:val="00100271"/>
    <w:rsid w:val="001428B3"/>
    <w:rsid w:val="00147003"/>
    <w:rsid w:val="00176F81"/>
    <w:rsid w:val="0019680E"/>
    <w:rsid w:val="001A35C8"/>
    <w:rsid w:val="001A381A"/>
    <w:rsid w:val="001A5D51"/>
    <w:rsid w:val="001A6314"/>
    <w:rsid w:val="001B368F"/>
    <w:rsid w:val="001B4AD7"/>
    <w:rsid w:val="001B5D84"/>
    <w:rsid w:val="001F2E83"/>
    <w:rsid w:val="00207496"/>
    <w:rsid w:val="002377A0"/>
    <w:rsid w:val="002631EA"/>
    <w:rsid w:val="00285572"/>
    <w:rsid w:val="00293171"/>
    <w:rsid w:val="00295E9A"/>
    <w:rsid w:val="002A22B2"/>
    <w:rsid w:val="002C74D8"/>
    <w:rsid w:val="002D2CE2"/>
    <w:rsid w:val="003177BF"/>
    <w:rsid w:val="00317B0F"/>
    <w:rsid w:val="00331C72"/>
    <w:rsid w:val="003322BE"/>
    <w:rsid w:val="0038290A"/>
    <w:rsid w:val="003906AD"/>
    <w:rsid w:val="003A07EC"/>
    <w:rsid w:val="003B26F9"/>
    <w:rsid w:val="003B6A8E"/>
    <w:rsid w:val="003E6D7A"/>
    <w:rsid w:val="00404B53"/>
    <w:rsid w:val="0041092D"/>
    <w:rsid w:val="004219C9"/>
    <w:rsid w:val="004274B4"/>
    <w:rsid w:val="0044019D"/>
    <w:rsid w:val="0044341E"/>
    <w:rsid w:val="00454F3D"/>
    <w:rsid w:val="00485A54"/>
    <w:rsid w:val="00510FF6"/>
    <w:rsid w:val="005539FF"/>
    <w:rsid w:val="00562C29"/>
    <w:rsid w:val="00564F85"/>
    <w:rsid w:val="005C70E0"/>
    <w:rsid w:val="005F74D7"/>
    <w:rsid w:val="00614429"/>
    <w:rsid w:val="00640136"/>
    <w:rsid w:val="006457E9"/>
    <w:rsid w:val="0066117A"/>
    <w:rsid w:val="00681FB3"/>
    <w:rsid w:val="006E7686"/>
    <w:rsid w:val="007000B2"/>
    <w:rsid w:val="00701871"/>
    <w:rsid w:val="0072147E"/>
    <w:rsid w:val="007267B2"/>
    <w:rsid w:val="00743EF6"/>
    <w:rsid w:val="007606F8"/>
    <w:rsid w:val="007641B5"/>
    <w:rsid w:val="00783A5D"/>
    <w:rsid w:val="007E72D4"/>
    <w:rsid w:val="0082653F"/>
    <w:rsid w:val="008C38A6"/>
    <w:rsid w:val="008C6303"/>
    <w:rsid w:val="008D133C"/>
    <w:rsid w:val="008D2683"/>
    <w:rsid w:val="008E16B8"/>
    <w:rsid w:val="008E4459"/>
    <w:rsid w:val="008F3990"/>
    <w:rsid w:val="008F5155"/>
    <w:rsid w:val="00903ABD"/>
    <w:rsid w:val="0094188F"/>
    <w:rsid w:val="00960264"/>
    <w:rsid w:val="00960BFC"/>
    <w:rsid w:val="00971ED2"/>
    <w:rsid w:val="009B0FFB"/>
    <w:rsid w:val="009C6B91"/>
    <w:rsid w:val="00A003E2"/>
    <w:rsid w:val="00A01FF2"/>
    <w:rsid w:val="00A13255"/>
    <w:rsid w:val="00A138F5"/>
    <w:rsid w:val="00A13DBD"/>
    <w:rsid w:val="00A15CD1"/>
    <w:rsid w:val="00A2389F"/>
    <w:rsid w:val="00A25CD8"/>
    <w:rsid w:val="00A35421"/>
    <w:rsid w:val="00A42E07"/>
    <w:rsid w:val="00A45B72"/>
    <w:rsid w:val="00A50AD6"/>
    <w:rsid w:val="00A63CDC"/>
    <w:rsid w:val="00AB30F0"/>
    <w:rsid w:val="00AB6BCC"/>
    <w:rsid w:val="00AC3DF4"/>
    <w:rsid w:val="00AD5983"/>
    <w:rsid w:val="00AD783A"/>
    <w:rsid w:val="00AE01BB"/>
    <w:rsid w:val="00AE7A4B"/>
    <w:rsid w:val="00B02BBE"/>
    <w:rsid w:val="00B22085"/>
    <w:rsid w:val="00B8051F"/>
    <w:rsid w:val="00B90488"/>
    <w:rsid w:val="00B96E34"/>
    <w:rsid w:val="00BA3F1D"/>
    <w:rsid w:val="00BA5E1C"/>
    <w:rsid w:val="00BE1B99"/>
    <w:rsid w:val="00C028B6"/>
    <w:rsid w:val="00C056CF"/>
    <w:rsid w:val="00C24F9C"/>
    <w:rsid w:val="00C64A49"/>
    <w:rsid w:val="00CA73BA"/>
    <w:rsid w:val="00CC72E5"/>
    <w:rsid w:val="00CD2694"/>
    <w:rsid w:val="00CF08BB"/>
    <w:rsid w:val="00CF1AAB"/>
    <w:rsid w:val="00CF3588"/>
    <w:rsid w:val="00D04A04"/>
    <w:rsid w:val="00D140C4"/>
    <w:rsid w:val="00D46DD8"/>
    <w:rsid w:val="00D57137"/>
    <w:rsid w:val="00D63B4A"/>
    <w:rsid w:val="00D90360"/>
    <w:rsid w:val="00D9349E"/>
    <w:rsid w:val="00DD2A32"/>
    <w:rsid w:val="00DF185F"/>
    <w:rsid w:val="00DF7A3B"/>
    <w:rsid w:val="00E07122"/>
    <w:rsid w:val="00E4520A"/>
    <w:rsid w:val="00E67A50"/>
    <w:rsid w:val="00E82FB1"/>
    <w:rsid w:val="00EC7CBF"/>
    <w:rsid w:val="00ED0953"/>
    <w:rsid w:val="00EF5FD6"/>
    <w:rsid w:val="00F241F0"/>
    <w:rsid w:val="00F340AB"/>
    <w:rsid w:val="00F40AD9"/>
    <w:rsid w:val="00F43E6A"/>
    <w:rsid w:val="00F813D9"/>
    <w:rsid w:val="00F96AAD"/>
    <w:rsid w:val="00FA1FBE"/>
    <w:rsid w:val="00FA7AE7"/>
    <w:rsid w:val="00FC7D53"/>
    <w:rsid w:val="00FD3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58745"/>
  <w15:chartTrackingRefBased/>
  <w15:docId w15:val="{A9FBF8D5-A7EC-4238-8610-F197315A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147E"/>
    <w:rPr>
      <w:rFonts w:eastAsia="Calibri"/>
      <w:sz w:val="24"/>
      <w:szCs w:val="24"/>
    </w:rPr>
  </w:style>
  <w:style w:type="paragraph" w:styleId="Heading1">
    <w:name w:val="heading 1"/>
    <w:basedOn w:val="Normal"/>
    <w:next w:val="BodyText"/>
    <w:link w:val="Heading1Char"/>
    <w:qFormat/>
    <w:rsid w:val="0072147E"/>
    <w:pPr>
      <w:keepNext/>
      <w:keepLines/>
      <w:spacing w:before="240" w:after="240"/>
      <w:outlineLvl w:val="0"/>
    </w:pPr>
    <w:rPr>
      <w:b/>
      <w:bCs/>
      <w:color w:val="005546"/>
      <w:sz w:val="52"/>
      <w:szCs w:val="28"/>
    </w:rPr>
  </w:style>
  <w:style w:type="paragraph" w:styleId="Heading2">
    <w:name w:val="heading 2"/>
    <w:basedOn w:val="Normal"/>
    <w:next w:val="BodyText"/>
    <w:link w:val="Heading2Char"/>
    <w:qFormat/>
    <w:rsid w:val="0072147E"/>
    <w:pPr>
      <w:keepNext/>
      <w:keepLines/>
      <w:spacing w:before="360" w:after="120"/>
      <w:outlineLvl w:val="1"/>
    </w:pPr>
    <w:rPr>
      <w:b/>
      <w:bCs/>
      <w:color w:val="005546"/>
      <w:sz w:val="36"/>
      <w:szCs w:val="26"/>
    </w:rPr>
  </w:style>
  <w:style w:type="paragraph" w:styleId="Heading3">
    <w:name w:val="heading 3"/>
    <w:basedOn w:val="Normal"/>
    <w:next w:val="BodyText"/>
    <w:link w:val="Heading3Char"/>
    <w:autoRedefine/>
    <w:qFormat/>
    <w:rsid w:val="0072147E"/>
    <w:pPr>
      <w:keepNext/>
      <w:keepLines/>
      <w:spacing w:before="360" w:after="120"/>
      <w:outlineLvl w:val="2"/>
    </w:pPr>
    <w:rPr>
      <w:b/>
      <w:bCs/>
      <w:color w:val="005546"/>
      <w:sz w:val="32"/>
    </w:rPr>
  </w:style>
  <w:style w:type="paragraph" w:styleId="Heading4">
    <w:name w:val="heading 4"/>
    <w:basedOn w:val="Normal"/>
    <w:next w:val="BodyText"/>
    <w:link w:val="Heading4Char"/>
    <w:qFormat/>
    <w:rsid w:val="0072147E"/>
    <w:pPr>
      <w:keepNext/>
      <w:keepLines/>
      <w:spacing w:before="360" w:after="320"/>
      <w:outlineLvl w:val="3"/>
    </w:pPr>
    <w:rPr>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47E"/>
    <w:rPr>
      <w:rFonts w:eastAsia="Calibri"/>
      <w:b/>
      <w:bCs/>
      <w:color w:val="005546"/>
      <w:sz w:val="52"/>
      <w:szCs w:val="28"/>
    </w:rPr>
  </w:style>
  <w:style w:type="character" w:customStyle="1" w:styleId="Heading2Char">
    <w:name w:val="Heading 2 Char"/>
    <w:link w:val="Heading2"/>
    <w:rsid w:val="0072147E"/>
    <w:rPr>
      <w:rFonts w:eastAsia="Calibri"/>
      <w:b/>
      <w:bCs/>
      <w:color w:val="005546"/>
      <w:sz w:val="36"/>
      <w:szCs w:val="26"/>
    </w:rPr>
  </w:style>
  <w:style w:type="paragraph" w:styleId="Header">
    <w:name w:val="header"/>
    <w:basedOn w:val="Normal"/>
    <w:link w:val="HeaderChar"/>
    <w:semiHidden/>
    <w:rsid w:val="00564F85"/>
    <w:pPr>
      <w:tabs>
        <w:tab w:val="center" w:pos="4513"/>
        <w:tab w:val="right" w:pos="9026"/>
      </w:tabs>
    </w:pPr>
  </w:style>
  <w:style w:type="character" w:customStyle="1" w:styleId="HeaderChar">
    <w:name w:val="Header Char"/>
    <w:basedOn w:val="DefaultParagraphFont"/>
    <w:link w:val="Header"/>
    <w:semiHidden/>
    <w:rsid w:val="00564F85"/>
    <w:rPr>
      <w:rFonts w:ascii="Arial" w:eastAsia="Times New Roman" w:hAnsi="Arial" w:cs="Times New Roman"/>
      <w:sz w:val="24"/>
      <w:szCs w:val="24"/>
    </w:rPr>
  </w:style>
  <w:style w:type="paragraph" w:styleId="Footer">
    <w:name w:val="footer"/>
    <w:basedOn w:val="Normal"/>
    <w:link w:val="FooterChar"/>
    <w:uiPriority w:val="99"/>
    <w:rsid w:val="00564F85"/>
    <w:pPr>
      <w:tabs>
        <w:tab w:val="center" w:pos="4513"/>
        <w:tab w:val="right" w:pos="9026"/>
      </w:tabs>
    </w:pPr>
  </w:style>
  <w:style w:type="character" w:customStyle="1" w:styleId="FooterChar">
    <w:name w:val="Footer Char"/>
    <w:basedOn w:val="DefaultParagraphFont"/>
    <w:link w:val="Footer"/>
    <w:uiPriority w:val="99"/>
    <w:rsid w:val="00564F85"/>
    <w:rPr>
      <w:rFonts w:ascii="Arial" w:eastAsia="Times New Roman" w:hAnsi="Arial" w:cs="Times New Roman"/>
      <w:sz w:val="24"/>
      <w:szCs w:val="24"/>
    </w:rPr>
  </w:style>
  <w:style w:type="paragraph" w:styleId="BodyText">
    <w:name w:val="Body Text"/>
    <w:basedOn w:val="Normal"/>
    <w:link w:val="BodyTextChar"/>
    <w:qFormat/>
    <w:rsid w:val="0072147E"/>
    <w:pPr>
      <w:spacing w:before="120" w:after="240"/>
    </w:pPr>
    <w:rPr>
      <w:color w:val="000000"/>
    </w:rPr>
  </w:style>
  <w:style w:type="character" w:customStyle="1" w:styleId="BodyTextChar">
    <w:name w:val="Body Text Char"/>
    <w:link w:val="BodyText"/>
    <w:rsid w:val="0072147E"/>
    <w:rPr>
      <w:rFonts w:eastAsia="Calibri"/>
      <w:color w:val="000000"/>
      <w:sz w:val="24"/>
      <w:szCs w:val="24"/>
    </w:rPr>
  </w:style>
  <w:style w:type="table" w:customStyle="1" w:styleId="Table">
    <w:name w:val="Table"/>
    <w:basedOn w:val="TableNormal"/>
    <w:rsid w:val="00564F85"/>
    <w:rPr>
      <w:lang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customStyle="1" w:styleId="Bullet1">
    <w:name w:val="#.#.# Bullet"/>
    <w:basedOn w:val="Bullet0"/>
    <w:rsid w:val="00564F85"/>
    <w:pPr>
      <w:numPr>
        <w:ilvl w:val="2"/>
      </w:numPr>
      <w:tabs>
        <w:tab w:val="left" w:pos="1134"/>
      </w:tabs>
      <w:spacing w:before="120" w:after="120" w:line="276" w:lineRule="auto"/>
    </w:pPr>
    <w:rPr>
      <w:b w:val="0"/>
      <w:sz w:val="20"/>
    </w:rPr>
  </w:style>
  <w:style w:type="paragraph" w:customStyle="1" w:styleId="aBullet">
    <w:name w:val="#.#.# (a) Bullet"/>
    <w:basedOn w:val="Bullet1"/>
    <w:rsid w:val="00564F85"/>
    <w:pPr>
      <w:numPr>
        <w:ilvl w:val="3"/>
      </w:numPr>
      <w:tabs>
        <w:tab w:val="clear" w:pos="1134"/>
        <w:tab w:val="clear" w:pos="1164"/>
        <w:tab w:val="num" w:pos="1163"/>
      </w:tabs>
      <w:ind w:left="1163"/>
    </w:pPr>
  </w:style>
  <w:style w:type="paragraph" w:customStyle="1" w:styleId="aiBullet">
    <w:name w:val="#.#.# (a) (i) Bullet"/>
    <w:basedOn w:val="aBullet"/>
    <w:rsid w:val="00564F85"/>
    <w:pPr>
      <w:numPr>
        <w:ilvl w:val="4"/>
      </w:numPr>
    </w:pPr>
  </w:style>
  <w:style w:type="paragraph" w:customStyle="1" w:styleId="Bullet0">
    <w:name w:val="#.# Bullet"/>
    <w:basedOn w:val="Bullet"/>
    <w:rsid w:val="00564F85"/>
    <w:pPr>
      <w:numPr>
        <w:ilvl w:val="1"/>
      </w:numPr>
      <w:spacing w:before="280" w:after="200"/>
    </w:pPr>
    <w:rPr>
      <w:sz w:val="28"/>
      <w:szCs w:val="24"/>
    </w:rPr>
  </w:style>
  <w:style w:type="paragraph" w:customStyle="1" w:styleId="Bullet">
    <w:name w:val="# Bullet"/>
    <w:rsid w:val="00564F85"/>
    <w:pPr>
      <w:numPr>
        <w:numId w:val="1"/>
      </w:numPr>
      <w:spacing w:before="400" w:after="280"/>
    </w:pPr>
    <w:rPr>
      <w:rFonts w:asciiTheme="majorHAnsi" w:eastAsiaTheme="majorEastAsia" w:hAnsiTheme="majorHAnsi" w:cstheme="majorBidi"/>
      <w:b/>
      <w:bCs/>
      <w:sz w:val="32"/>
      <w:szCs w:val="26"/>
    </w:rPr>
  </w:style>
  <w:style w:type="numbering" w:customStyle="1" w:styleId="EATableBullets">
    <w:name w:val="EA Table Bullets"/>
    <w:uiPriority w:val="99"/>
    <w:rsid w:val="00564F85"/>
    <w:pPr>
      <w:numPr>
        <w:numId w:val="3"/>
      </w:numPr>
    </w:pPr>
  </w:style>
  <w:style w:type="character" w:customStyle="1" w:styleId="Blue">
    <w:name w:val="Blue"/>
    <w:basedOn w:val="DefaultParagraphFont"/>
    <w:uiPriority w:val="1"/>
    <w:rsid w:val="00564F85"/>
    <w:rPr>
      <w:color w:val="A5A5A5" w:themeColor="accent3"/>
    </w:rPr>
  </w:style>
  <w:style w:type="paragraph" w:customStyle="1" w:styleId="TableText">
    <w:name w:val="Table Text"/>
    <w:basedOn w:val="Normal"/>
    <w:rsid w:val="00564F85"/>
    <w:pPr>
      <w:spacing w:before="60" w:after="60"/>
      <w:ind w:left="85" w:right="85"/>
    </w:pPr>
    <w:rPr>
      <w:rFonts w:asciiTheme="minorHAnsi" w:hAnsiTheme="minorHAnsi"/>
      <w:sz w:val="20"/>
    </w:rPr>
  </w:style>
  <w:style w:type="character" w:customStyle="1" w:styleId="Bold">
    <w:name w:val="Bold"/>
    <w:basedOn w:val="DefaultParagraphFont"/>
    <w:uiPriority w:val="1"/>
    <w:rsid w:val="00564F85"/>
    <w:rPr>
      <w:b/>
    </w:rPr>
  </w:style>
  <w:style w:type="character" w:customStyle="1" w:styleId="Pink">
    <w:name w:val="Pink"/>
    <w:basedOn w:val="DefaultParagraphFont"/>
    <w:uiPriority w:val="1"/>
    <w:rsid w:val="00564F85"/>
    <w:rPr>
      <w:color w:val="ED7D31" w:themeColor="accent2"/>
    </w:rPr>
  </w:style>
  <w:style w:type="character" w:customStyle="1" w:styleId="Red">
    <w:name w:val="Red"/>
    <w:basedOn w:val="DefaultParagraphFont"/>
    <w:uiPriority w:val="1"/>
    <w:rsid w:val="00564F85"/>
    <w:rPr>
      <w:color w:val="4472C4" w:themeColor="accent1"/>
    </w:rPr>
  </w:style>
  <w:style w:type="numbering" w:customStyle="1" w:styleId="EANumBullets">
    <w:name w:val="EA Num Bullets"/>
    <w:uiPriority w:val="99"/>
    <w:rsid w:val="00564F85"/>
    <w:pPr>
      <w:numPr>
        <w:numId w:val="7"/>
      </w:numPr>
    </w:pPr>
  </w:style>
  <w:style w:type="paragraph" w:styleId="ListParagraph">
    <w:name w:val="List Paragraph"/>
    <w:basedOn w:val="Normal"/>
    <w:uiPriority w:val="34"/>
    <w:rsid w:val="00564F85"/>
    <w:pPr>
      <w:spacing w:before="120" w:after="120" w:line="276" w:lineRule="auto"/>
      <w:ind w:left="720"/>
      <w:contextualSpacing/>
    </w:pPr>
    <w:rPr>
      <w:rFonts w:asciiTheme="minorHAnsi" w:hAnsiTheme="minorHAnsi"/>
      <w:sz w:val="20"/>
    </w:rPr>
  </w:style>
  <w:style w:type="paragraph" w:customStyle="1" w:styleId="TableBulletL1">
    <w:name w:val="Table Bullet L1"/>
    <w:basedOn w:val="Normal"/>
    <w:rsid w:val="00564F85"/>
    <w:pPr>
      <w:numPr>
        <w:numId w:val="5"/>
      </w:numPr>
      <w:spacing w:before="60" w:after="60"/>
      <w:ind w:right="85"/>
    </w:pPr>
    <w:rPr>
      <w:rFonts w:asciiTheme="minorHAnsi" w:hAnsiTheme="minorHAnsi"/>
      <w:sz w:val="20"/>
    </w:rPr>
  </w:style>
  <w:style w:type="paragraph" w:customStyle="1" w:styleId="TableBulletL2">
    <w:name w:val="Table Bullet L2"/>
    <w:basedOn w:val="Normal"/>
    <w:rsid w:val="00564F85"/>
    <w:pPr>
      <w:numPr>
        <w:ilvl w:val="1"/>
        <w:numId w:val="5"/>
      </w:numPr>
      <w:spacing w:before="60" w:after="60"/>
      <w:ind w:right="85"/>
    </w:pPr>
    <w:rPr>
      <w:rFonts w:asciiTheme="minorHAnsi" w:hAnsiTheme="minorHAnsi"/>
      <w:sz w:val="20"/>
    </w:rPr>
  </w:style>
  <w:style w:type="paragraph" w:customStyle="1" w:styleId="TableBulletL3">
    <w:name w:val="Table Bullet L3"/>
    <w:basedOn w:val="Normal"/>
    <w:rsid w:val="00564F85"/>
    <w:pPr>
      <w:numPr>
        <w:ilvl w:val="2"/>
        <w:numId w:val="5"/>
      </w:numPr>
      <w:spacing w:before="60" w:after="60"/>
      <w:ind w:right="85"/>
    </w:pPr>
    <w:rPr>
      <w:rFonts w:asciiTheme="minorHAnsi" w:hAnsiTheme="minorHAnsi"/>
      <w:sz w:val="20"/>
    </w:rPr>
  </w:style>
  <w:style w:type="paragraph" w:customStyle="1" w:styleId="AlphaBulletL1">
    <w:name w:val="Alpha Bullet L1"/>
    <w:basedOn w:val="Normal"/>
    <w:rsid w:val="00564F85"/>
    <w:pPr>
      <w:numPr>
        <w:numId w:val="4"/>
      </w:numPr>
      <w:spacing w:before="120" w:after="120" w:line="276" w:lineRule="auto"/>
    </w:pPr>
    <w:rPr>
      <w:rFonts w:asciiTheme="minorHAnsi" w:hAnsiTheme="minorHAnsi"/>
      <w:sz w:val="20"/>
    </w:rPr>
  </w:style>
  <w:style w:type="paragraph" w:customStyle="1" w:styleId="AlphaBulletL2">
    <w:name w:val="Alpha Bullet L2"/>
    <w:basedOn w:val="Normal"/>
    <w:rsid w:val="00564F85"/>
    <w:pPr>
      <w:numPr>
        <w:ilvl w:val="1"/>
        <w:numId w:val="4"/>
      </w:numPr>
      <w:spacing w:before="120" w:after="120" w:line="276" w:lineRule="auto"/>
    </w:pPr>
    <w:rPr>
      <w:rFonts w:asciiTheme="minorHAnsi" w:hAnsiTheme="minorHAnsi"/>
      <w:sz w:val="20"/>
    </w:rPr>
  </w:style>
  <w:style w:type="paragraph" w:customStyle="1" w:styleId="AlphaBulletL3">
    <w:name w:val="Alpha Bullet L3"/>
    <w:basedOn w:val="Normal"/>
    <w:rsid w:val="00564F85"/>
    <w:pPr>
      <w:numPr>
        <w:ilvl w:val="2"/>
        <w:numId w:val="4"/>
      </w:numPr>
      <w:spacing w:before="120" w:after="120" w:line="276" w:lineRule="auto"/>
    </w:pPr>
    <w:rPr>
      <w:rFonts w:asciiTheme="minorHAnsi" w:hAnsiTheme="minorHAnsi"/>
      <w:sz w:val="20"/>
    </w:rPr>
  </w:style>
  <w:style w:type="paragraph" w:customStyle="1" w:styleId="AlphaBulletL4">
    <w:name w:val="Alpha Bullet L4"/>
    <w:basedOn w:val="Normal"/>
    <w:rsid w:val="00564F85"/>
    <w:pPr>
      <w:numPr>
        <w:ilvl w:val="3"/>
        <w:numId w:val="4"/>
      </w:numPr>
      <w:spacing w:before="120" w:after="120" w:line="276" w:lineRule="auto"/>
    </w:pPr>
    <w:rPr>
      <w:rFonts w:asciiTheme="minorHAnsi" w:hAnsiTheme="minorHAnsi"/>
      <w:sz w:val="20"/>
    </w:rPr>
  </w:style>
  <w:style w:type="numbering" w:customStyle="1" w:styleId="EAAlphaBullets">
    <w:name w:val="EA Alpha Bullets"/>
    <w:uiPriority w:val="99"/>
    <w:rsid w:val="00564F85"/>
    <w:pPr>
      <w:numPr>
        <w:numId w:val="9"/>
      </w:numPr>
    </w:pPr>
  </w:style>
  <w:style w:type="character" w:customStyle="1" w:styleId="BlueBold">
    <w:name w:val="Blue (Bold)"/>
    <w:basedOn w:val="DefaultParagraphFont"/>
    <w:uiPriority w:val="1"/>
    <w:rsid w:val="00564F85"/>
    <w:rPr>
      <w:b/>
      <w:color w:val="A5A5A5" w:themeColor="accent3"/>
    </w:rPr>
  </w:style>
  <w:style w:type="character" w:styleId="CommentReference">
    <w:name w:val="annotation reference"/>
    <w:basedOn w:val="DefaultParagraphFont"/>
    <w:uiPriority w:val="99"/>
    <w:rsid w:val="00564F85"/>
    <w:rPr>
      <w:sz w:val="16"/>
      <w:szCs w:val="16"/>
    </w:rPr>
  </w:style>
  <w:style w:type="paragraph" w:styleId="CommentText">
    <w:name w:val="annotation text"/>
    <w:basedOn w:val="Normal"/>
    <w:link w:val="CommentTextChar"/>
    <w:uiPriority w:val="99"/>
    <w:rsid w:val="00564F85"/>
    <w:pPr>
      <w:spacing w:before="120" w:after="120"/>
    </w:pPr>
    <w:rPr>
      <w:rFonts w:asciiTheme="minorHAnsi" w:hAnsiTheme="minorHAnsi"/>
      <w:sz w:val="20"/>
      <w:szCs w:val="20"/>
    </w:rPr>
  </w:style>
  <w:style w:type="character" w:customStyle="1" w:styleId="CommentTextChar">
    <w:name w:val="Comment Text Char"/>
    <w:basedOn w:val="DefaultParagraphFont"/>
    <w:link w:val="CommentText"/>
    <w:uiPriority w:val="99"/>
    <w:rsid w:val="00564F85"/>
    <w:rPr>
      <w:rFonts w:eastAsia="Times New Roman" w:cs="Times New Roman"/>
      <w:sz w:val="20"/>
      <w:szCs w:val="20"/>
    </w:rPr>
  </w:style>
  <w:style w:type="paragraph" w:customStyle="1" w:styleId="Default">
    <w:name w:val="Default"/>
    <w:rsid w:val="00564F85"/>
    <w:pPr>
      <w:autoSpaceDE w:val="0"/>
      <w:autoSpaceDN w:val="0"/>
      <w:adjustRightInd w:val="0"/>
    </w:pPr>
    <w:rPr>
      <w:rFonts w:cs="Arial"/>
      <w:color w:val="000000"/>
      <w:sz w:val="24"/>
      <w:szCs w:val="24"/>
      <w:lang w:eastAsia="en-GB"/>
    </w:rPr>
  </w:style>
  <w:style w:type="paragraph" w:customStyle="1" w:styleId="certificateHeading">
    <w:name w:val="certificateHeading"/>
    <w:rsid w:val="00564F85"/>
    <w:pPr>
      <w:pageBreakBefore/>
      <w:spacing w:line="200" w:lineRule="exact"/>
    </w:pPr>
    <w:rPr>
      <w:rFonts w:ascii="Arial Black" w:hAnsi="Arial Black"/>
      <w:sz w:val="18"/>
      <w:lang w:eastAsia="en-GB"/>
    </w:rPr>
  </w:style>
  <w:style w:type="paragraph" w:customStyle="1" w:styleId="Act">
    <w:name w:val="Act"/>
    <w:rsid w:val="00564F85"/>
    <w:pPr>
      <w:spacing w:before="80" w:line="200" w:lineRule="exact"/>
    </w:pPr>
    <w:rPr>
      <w:lang w:eastAsia="en-GB"/>
    </w:rPr>
  </w:style>
  <w:style w:type="paragraph" w:styleId="BalloonText">
    <w:name w:val="Balloon Text"/>
    <w:basedOn w:val="Normal"/>
    <w:link w:val="BalloonTextChar"/>
    <w:uiPriority w:val="99"/>
    <w:semiHidden/>
    <w:unhideWhenUsed/>
    <w:rsid w:val="00564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F85"/>
    <w:rPr>
      <w:rFonts w:ascii="Segoe UI" w:eastAsia="Times New Roman" w:hAnsi="Segoe UI" w:cs="Segoe UI"/>
      <w:sz w:val="18"/>
      <w:szCs w:val="18"/>
    </w:rPr>
  </w:style>
  <w:style w:type="table" w:styleId="TableGrid">
    <w:name w:val="Table Grid"/>
    <w:basedOn w:val="TableNormal"/>
    <w:rsid w:val="00564F85"/>
    <w:pPr>
      <w:ind w:left="85" w:right="85"/>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character" w:styleId="Hyperlink">
    <w:name w:val="Hyperlink"/>
    <w:basedOn w:val="DefaultParagraphFont"/>
    <w:uiPriority w:val="99"/>
    <w:unhideWhenUsed/>
    <w:rsid w:val="008C6303"/>
    <w:rPr>
      <w:color w:val="0563C1" w:themeColor="hyperlink"/>
      <w:u w:val="single"/>
    </w:rPr>
  </w:style>
  <w:style w:type="character" w:styleId="UnresolvedMention">
    <w:name w:val="Unresolved Mention"/>
    <w:basedOn w:val="DefaultParagraphFont"/>
    <w:uiPriority w:val="99"/>
    <w:semiHidden/>
    <w:unhideWhenUsed/>
    <w:rsid w:val="008C6303"/>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A13255"/>
    <w:pPr>
      <w:spacing w:before="0" w:after="0"/>
    </w:pPr>
    <w:rPr>
      <w:rFonts w:ascii="Arial" w:hAnsi="Arial"/>
      <w:b/>
      <w:bCs/>
    </w:rPr>
  </w:style>
  <w:style w:type="character" w:customStyle="1" w:styleId="CommentSubjectChar">
    <w:name w:val="Comment Subject Char"/>
    <w:basedOn w:val="CommentTextChar"/>
    <w:link w:val="CommentSubject"/>
    <w:uiPriority w:val="99"/>
    <w:semiHidden/>
    <w:rsid w:val="00A13255"/>
    <w:rPr>
      <w:rFonts w:ascii="Arial" w:eastAsia="Times New Roman" w:hAnsi="Arial" w:cs="Times New Roman"/>
      <w:b/>
      <w:bCs/>
      <w:sz w:val="20"/>
      <w:szCs w:val="20"/>
    </w:rPr>
  </w:style>
  <w:style w:type="paragraph" w:customStyle="1" w:styleId="Bullets">
    <w:name w:val="Bullets"/>
    <w:basedOn w:val="Normal"/>
    <w:next w:val="BodyText"/>
    <w:qFormat/>
    <w:rsid w:val="0072147E"/>
    <w:pPr>
      <w:numPr>
        <w:numId w:val="20"/>
      </w:numPr>
    </w:pPr>
    <w:rPr>
      <w:color w:val="000000"/>
    </w:rPr>
  </w:style>
  <w:style w:type="paragraph" w:customStyle="1" w:styleId="Contents">
    <w:name w:val="Contents"/>
    <w:basedOn w:val="TOC1"/>
    <w:semiHidden/>
    <w:qFormat/>
    <w:rsid w:val="0072147E"/>
    <w:pPr>
      <w:tabs>
        <w:tab w:val="right" w:leader="dot" w:pos="9642"/>
      </w:tabs>
    </w:pPr>
    <w:rPr>
      <w:rFonts w:ascii="Times New Roman" w:hAnsi="Times New Roman"/>
      <w:color w:val="0091A5"/>
      <w:sz w:val="32"/>
    </w:rPr>
  </w:style>
  <w:style w:type="paragraph" w:styleId="TOC1">
    <w:name w:val="toc 1"/>
    <w:basedOn w:val="Normal"/>
    <w:next w:val="Normal"/>
    <w:autoRedefine/>
    <w:uiPriority w:val="39"/>
    <w:semiHidden/>
    <w:unhideWhenUsed/>
    <w:rsid w:val="00A25CD8"/>
    <w:pPr>
      <w:spacing w:after="100"/>
    </w:pPr>
  </w:style>
  <w:style w:type="paragraph" w:customStyle="1" w:styleId="HeaderTitle">
    <w:name w:val="Header Title"/>
    <w:basedOn w:val="BodyText"/>
    <w:next w:val="BodyText"/>
    <w:link w:val="HeaderTitleChar"/>
    <w:qFormat/>
    <w:rsid w:val="0072147E"/>
    <w:rPr>
      <w:b/>
      <w:color w:val="005546"/>
      <w:sz w:val="52"/>
    </w:rPr>
  </w:style>
  <w:style w:type="character" w:customStyle="1" w:styleId="HeaderTitleChar">
    <w:name w:val="Header Title Char"/>
    <w:basedOn w:val="BodyTextChar"/>
    <w:link w:val="HeaderTitle"/>
    <w:rsid w:val="0072147E"/>
    <w:rPr>
      <w:rFonts w:eastAsia="Calibri"/>
      <w:b/>
      <w:color w:val="005546"/>
      <w:sz w:val="52"/>
      <w:szCs w:val="24"/>
    </w:rPr>
  </w:style>
  <w:style w:type="paragraph" w:customStyle="1" w:styleId="AgendaHeading">
    <w:name w:val="Agenda Heading"/>
    <w:basedOn w:val="BodyText"/>
    <w:next w:val="BodyText"/>
    <w:link w:val="AgendaHeadingChar"/>
    <w:qFormat/>
    <w:rsid w:val="0072147E"/>
    <w:rPr>
      <w:b/>
      <w:color w:val="005546"/>
      <w:sz w:val="28"/>
    </w:rPr>
  </w:style>
  <w:style w:type="character" w:customStyle="1" w:styleId="AgendaHeadingChar">
    <w:name w:val="Agenda Heading Char"/>
    <w:basedOn w:val="BodyTextChar"/>
    <w:link w:val="AgendaHeading"/>
    <w:rsid w:val="0072147E"/>
    <w:rPr>
      <w:rFonts w:eastAsia="Calibri"/>
      <w:b/>
      <w:color w:val="005546"/>
      <w:sz w:val="28"/>
      <w:szCs w:val="24"/>
    </w:rPr>
  </w:style>
  <w:style w:type="character" w:customStyle="1" w:styleId="Heading3Char">
    <w:name w:val="Heading 3 Char"/>
    <w:link w:val="Heading3"/>
    <w:rsid w:val="0072147E"/>
    <w:rPr>
      <w:rFonts w:eastAsia="Calibri"/>
      <w:b/>
      <w:bCs/>
      <w:color w:val="005546"/>
      <w:sz w:val="32"/>
      <w:szCs w:val="24"/>
    </w:rPr>
  </w:style>
  <w:style w:type="character" w:customStyle="1" w:styleId="Heading4Char">
    <w:name w:val="Heading 4 Char"/>
    <w:link w:val="Heading4"/>
    <w:rsid w:val="0072147E"/>
    <w:rPr>
      <w:rFonts w:eastAsia="Calibri"/>
      <w:b/>
      <w:bCs/>
      <w:iCs/>
      <w:color w:val="005546"/>
      <w:sz w:val="28"/>
      <w:szCs w:val="24"/>
    </w:rPr>
  </w:style>
  <w:style w:type="paragraph" w:styleId="Title">
    <w:name w:val="Title"/>
    <w:basedOn w:val="Normal"/>
    <w:next w:val="Normal"/>
    <w:link w:val="TitleChar"/>
    <w:qFormat/>
    <w:rsid w:val="0072147E"/>
    <w:pPr>
      <w:contextualSpacing/>
    </w:pPr>
    <w:rPr>
      <w:rFonts w:eastAsiaTheme="majorEastAsia" w:cs="Arial"/>
      <w:b/>
      <w:color w:val="005546"/>
      <w:spacing w:val="-10"/>
      <w:kern w:val="28"/>
      <w:sz w:val="56"/>
      <w:szCs w:val="56"/>
    </w:rPr>
  </w:style>
  <w:style w:type="character" w:customStyle="1" w:styleId="TitleChar">
    <w:name w:val="Title Char"/>
    <w:basedOn w:val="DefaultParagraphFont"/>
    <w:link w:val="Title"/>
    <w:rsid w:val="0072147E"/>
    <w:rPr>
      <w:rFonts w:eastAsiaTheme="majorEastAsia" w:cs="Arial"/>
      <w:b/>
      <w:color w:val="005546"/>
      <w:spacing w:val="-10"/>
      <w:kern w:val="28"/>
      <w:sz w:val="56"/>
      <w:szCs w:val="56"/>
    </w:rPr>
  </w:style>
  <w:style w:type="paragraph" w:styleId="Revision">
    <w:name w:val="Revision"/>
    <w:hidden/>
    <w:uiPriority w:val="99"/>
    <w:semiHidden/>
    <w:rsid w:val="00F241F0"/>
    <w:rPr>
      <w:rFonts w:eastAsia="Calibri"/>
      <w:sz w:val="24"/>
      <w:szCs w:val="24"/>
    </w:rPr>
  </w:style>
  <w:style w:type="table" w:styleId="TableGridLight">
    <w:name w:val="Grid Table Light"/>
    <w:basedOn w:val="TableNormal"/>
    <w:uiPriority w:val="40"/>
    <w:rsid w:val="00AE7A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E4481801CF9ED449D0FD9D6FBDF3E50" ma:contentTypeVersion="528" ma:contentTypeDescription="" ma:contentTypeScope="" ma:versionID="5935b5adb50384a375ffa93f908db68a">
  <xsd:schema xmlns:xsd="http://www.w3.org/2001/XMLSchema" xmlns:xs="http://www.w3.org/2001/XMLSchema" xmlns:p="http://schemas.microsoft.com/office/2006/metadata/properties" xmlns:ns2="9be56660-2c31-41ef-bc00-23e72f632f2a" targetNamespace="http://schemas.microsoft.com/office/2006/metadata/properties" ma:root="true" ma:fieldsID="2f04ffbdcc42239ab1d69e068e36fab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REGU-2078146831-903</_dlc_DocId>
    <_dlc_DocIdUrl xmlns="9be56660-2c31-41ef-bc00-23e72f632f2a">
      <Url>https://cyfoethnaturiolcymru.sharepoint.com/teams/Regulatory/ind/comb/_layouts/15/DocIdRedir.aspx?ID=REGU-2078146831-903</Url>
      <Description>REGU-2078146831-903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C826-9D56-497F-B7DA-82833B1976AE}"/>
</file>

<file path=customXml/itemProps2.xml><?xml version="1.0" encoding="utf-8"?>
<ds:datastoreItem xmlns:ds="http://schemas.openxmlformats.org/officeDocument/2006/customXml" ds:itemID="{9FE2FE21-9BC1-4EE8-8D0B-2DD6A3982F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e56660-2c31-41ef-bc00-23e72f632f2a"/>
    <ds:schemaRef ds:uri="http://www.w3.org/XML/1998/namespace"/>
    <ds:schemaRef ds:uri="http://purl.org/dc/dcmitype/"/>
  </ds:schemaRefs>
</ds:datastoreItem>
</file>

<file path=customXml/itemProps3.xml><?xml version="1.0" encoding="utf-8"?>
<ds:datastoreItem xmlns:ds="http://schemas.openxmlformats.org/officeDocument/2006/customXml" ds:itemID="{7C4B5442-4157-4BBE-91E8-31719AE9A174}">
  <ds:schemaRefs>
    <ds:schemaRef ds:uri="http://schemas.microsoft.com/sharepoint/v3/contenttype/forms"/>
  </ds:schemaRefs>
</ds:datastoreItem>
</file>

<file path=customXml/itemProps4.xml><?xml version="1.0" encoding="utf-8"?>
<ds:datastoreItem xmlns:ds="http://schemas.openxmlformats.org/officeDocument/2006/customXml" ds:itemID="{9A63667B-A2A0-4BD0-9317-695307719490}">
  <ds:schemaRefs>
    <ds:schemaRef ds:uri="http://schemas.microsoft.com/sharepoint/events"/>
  </ds:schemaRefs>
</ds:datastoreItem>
</file>

<file path=customXml/itemProps5.xml><?xml version="1.0" encoding="utf-8"?>
<ds:datastoreItem xmlns:ds="http://schemas.openxmlformats.org/officeDocument/2006/customXml" ds:itemID="{E719A5D6-277F-4B80-80A7-3DD72BEEA397}">
  <ds:schemaRefs>
    <ds:schemaRef ds:uri="Microsoft.SharePoint.Taxonomy.ContentTypeSync"/>
  </ds:schemaRefs>
</ds:datastoreItem>
</file>

<file path=customXml/itemProps6.xml><?xml version="1.0" encoding="utf-8"?>
<ds:datastoreItem xmlns:ds="http://schemas.openxmlformats.org/officeDocument/2006/customXml" ds:itemID="{18983854-F6C3-4B98-9F93-1629439A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Nethercott, Amy</dc:creator>
  <cp:keywords/>
  <dc:description/>
  <cp:lastModifiedBy>Potts, Shaun</cp:lastModifiedBy>
  <cp:revision>16</cp:revision>
  <cp:lastPrinted>2020-03-12T11:01:00Z</cp:lastPrinted>
  <dcterms:created xsi:type="dcterms:W3CDTF">2020-11-11T14:10:00Z</dcterms:created>
  <dcterms:modified xsi:type="dcterms:W3CDTF">2020-11-25T11:55:00Z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0x01010067EB80C5FE939D4A9B3D8BA62129B7F50100BE4481801CF9ED449D0FD9D6FBDF3E50</vt:lpwstr>
  </property>
  <property fmtid="{D5CDD505-2E9C-101B-9397-08002B2CF9AE}" pid="3" name="_dlc_DocIdItemGuid">
    <vt:lpwstr>cc0bad83-896c-414d-bae8-6d93a5f5943b</vt:lpwstr>
  </property>
</Properties>
</file>